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jc w:val="center"/>
        <w:rPr>
          <w:rFonts w:ascii="宋体;SimSun" w:hAnsi="宋体;SimSun" w:eastAsia="宋体;SimSun" w:cs="宋体;SimSun"/>
          <w:b/>
          <w:color w:val="auto"/>
          <w:sz w:val="84"/>
          <w:szCs w:val="84"/>
          <w:highlight w:val="none"/>
        </w:rPr>
      </w:pPr>
      <w:r>
        <w:rPr>
          <w:rFonts w:ascii="宋体;SimSun" w:hAnsi="宋体;SimSun" w:eastAsia="宋体;SimSun" w:cs="宋体;SimSun"/>
          <w:b/>
          <w:color w:val="auto"/>
          <w:sz w:val="84"/>
          <w:szCs w:val="84"/>
          <w:highlight w:val="none"/>
        </w:rPr>
      </w:r>
      <w:r/>
    </w:p>
    <w:p>
      <w:pPr>
        <w:jc w:val="center"/>
        <w:rPr>
          <w:rFonts w:ascii="宋体;SimSun" w:hAnsi="宋体;SimSun" w:eastAsia="宋体;SimSun" w:cs="宋体;SimSun"/>
          <w:b/>
          <w:color w:val="auto"/>
          <w:sz w:val="84"/>
          <w:szCs w:val="84"/>
          <w:highlight w:val="none"/>
        </w:rPr>
      </w:pPr>
      <w:r>
        <w:rPr>
          <w:rFonts w:ascii="宋体;SimSun" w:hAnsi="宋体;SimSun" w:eastAsia="宋体;SimSun" w:cs="宋体;SimSun"/>
          <w:b/>
          <w:color w:val="auto"/>
          <w:sz w:val="84"/>
          <w:szCs w:val="84"/>
          <w:highlight w:val="none"/>
        </w:rPr>
        <w:t xml:space="preserve">招　标　文　件</w:t>
      </w:r>
      <w:r/>
    </w:p>
    <w:p>
      <w:pPr>
        <w:ind w:firstLine="2249"/>
        <w:jc w:val="left"/>
        <w:spacing w:line="480" w:lineRule="auto"/>
        <w:rPr>
          <w:rFonts w:ascii="宋体;SimSun" w:hAnsi="宋体;SimSun" w:eastAsia="宋体;SimSun" w:cs="宋体;SimSun"/>
          <w:b/>
          <w:bCs/>
          <w:color w:val="auto"/>
          <w:sz w:val="32"/>
          <w:szCs w:val="24"/>
          <w:highlight w:val="none"/>
        </w:rPr>
      </w:pPr>
      <w:r>
        <w:rPr>
          <w:rFonts w:ascii="宋体;SimSun" w:hAnsi="宋体;SimSun" w:eastAsia="宋体;SimSun" w:cs="宋体;SimSun"/>
          <w:b/>
          <w:bCs/>
          <w:color w:val="auto"/>
          <w:sz w:val="32"/>
          <w:szCs w:val="24"/>
          <w:highlight w:val="none"/>
        </w:rPr>
      </w:r>
      <w:r/>
    </w:p>
    <w:p>
      <w:pPr>
        <w:ind w:firstLine="2249"/>
        <w:jc w:val="left"/>
        <w:spacing w:line="480" w:lineRule="auto"/>
        <w:rPr>
          <w:rFonts w:ascii="宋体;SimSun" w:hAnsi="宋体;SimSun" w:eastAsia="宋体;SimSun" w:cs="宋体;SimSun"/>
          <w:b/>
          <w:bCs/>
          <w:color w:val="auto"/>
          <w:sz w:val="32"/>
          <w:szCs w:val="24"/>
          <w:highlight w:val="none"/>
        </w:rPr>
      </w:pPr>
      <w:r>
        <w:rPr>
          <w:rFonts w:ascii="宋体;SimSun" w:hAnsi="宋体;SimSun" w:eastAsia="宋体;SimSun" w:cs="宋体;SimSun"/>
          <w:b/>
          <w:bCs/>
          <w:color w:val="auto"/>
          <w:sz w:val="32"/>
          <w:szCs w:val="24"/>
          <w:highlight w:val="none"/>
        </w:rPr>
      </w:r>
      <w:r/>
    </w:p>
    <w:p>
      <w:pPr>
        <w:jc w:val="left"/>
        <w:spacing w:line="480" w:lineRule="auto"/>
        <w:rPr>
          <w:rFonts w:ascii="宋体;SimSun" w:hAnsi="宋体;SimSun" w:eastAsia="宋体;SimSun" w:cs="宋体;SimSun"/>
          <w:b/>
          <w:bCs/>
          <w:color w:val="auto"/>
          <w:sz w:val="32"/>
          <w:szCs w:val="24"/>
          <w:highlight w:val="none"/>
        </w:rPr>
      </w:pPr>
      <w:r>
        <w:rPr>
          <w:rFonts w:ascii="宋体;SimSun" w:hAnsi="宋体;SimSun" w:eastAsia="宋体;SimSun" w:cs="宋体;SimSun"/>
          <w:b/>
          <w:bCs/>
          <w:color w:val="auto"/>
          <w:sz w:val="32"/>
          <w:szCs w:val="24"/>
          <w:highlight w:val="none"/>
        </w:rPr>
      </w:r>
      <w:r/>
    </w:p>
    <w:p>
      <w:pPr>
        <w:ind w:firstLine="2249"/>
        <w:jc w:val="left"/>
        <w:spacing w:line="480" w:lineRule="auto"/>
        <w:rPr>
          <w:rFonts w:ascii="宋体;SimSun" w:hAnsi="宋体;SimSun" w:eastAsia="宋体;SimSun" w:cs="宋体;SimSun"/>
          <w:b/>
          <w:bCs/>
          <w:color w:val="auto"/>
          <w:sz w:val="32"/>
          <w:szCs w:val="24"/>
          <w:highlight w:val="none"/>
        </w:rPr>
      </w:pPr>
      <w:r>
        <w:rPr>
          <w:rFonts w:ascii="宋体;SimSun" w:hAnsi="宋体;SimSun" w:eastAsia="宋体;SimSun" w:cs="宋体;SimSun"/>
          <w:b/>
          <w:bCs/>
          <w:color w:val="auto"/>
          <w:sz w:val="32"/>
          <w:szCs w:val="24"/>
          <w:highlight w:val="none"/>
        </w:rPr>
      </w:r>
      <w:r/>
    </w:p>
    <w:p>
      <w:pPr>
        <w:ind w:firstLine="1285"/>
        <w:spacing w:line="480" w:lineRule="auto"/>
        <w:rPr>
          <w:rFonts w:ascii="宋体;SimSun" w:hAnsi="宋体;SimSun" w:eastAsia="宋体;SimSun" w:cs="宋体;SimSun"/>
          <w:b/>
          <w:bCs/>
          <w:color w:val="auto"/>
          <w:sz w:val="32"/>
          <w:szCs w:val="24"/>
          <w:highlight w:val="none"/>
        </w:rPr>
      </w:pPr>
      <w:r>
        <w:rPr>
          <w:rFonts w:ascii="宋体;SimSun" w:hAnsi="宋体;SimSun" w:eastAsia="宋体;SimSun" w:cs="宋体;SimSun"/>
          <w:b/>
          <w:bCs/>
          <w:color w:val="auto"/>
          <w:sz w:val="32"/>
          <w:szCs w:val="24"/>
          <w:highlight w:val="none"/>
        </w:rPr>
        <w:t xml:space="preserve">项目名称：连云港石化产业基地拓展区（板桥片区）智慧平台项目</w:t>
      </w:r>
      <w:r/>
    </w:p>
    <w:p>
      <w:pPr>
        <w:ind w:firstLine="1285"/>
        <w:spacing w:line="480" w:lineRule="auto"/>
        <w:rPr>
          <w:rFonts w:ascii="宋体;SimSun" w:hAnsi="宋体;SimSun" w:eastAsia="宋体;SimSun" w:cs="宋体;SimSun"/>
          <w:b/>
          <w:bCs/>
          <w:color w:val="auto"/>
          <w:sz w:val="32"/>
          <w:szCs w:val="24"/>
          <w:highlight w:val="none"/>
        </w:rPr>
      </w:pPr>
      <w:r>
        <w:rPr>
          <w:rFonts w:ascii="宋体;SimSun" w:hAnsi="宋体;SimSun" w:eastAsia="宋体;SimSun" w:cs="宋体;SimSun"/>
          <w:b/>
          <w:bCs/>
          <w:color w:val="auto"/>
          <w:sz w:val="32"/>
          <w:szCs w:val="24"/>
          <w:highlight w:val="none"/>
        </w:rPr>
        <w:t xml:space="preserve">项目编号：</w:t>
      </w:r>
      <w:r>
        <w:rPr>
          <w:rFonts w:ascii="宋体;SimSun" w:hAnsi="宋体;SimSun" w:eastAsia="宋体;SimSun" w:cs="宋体;SimSun"/>
          <w:b/>
          <w:bCs/>
          <w:color w:val="auto"/>
          <w:sz w:val="32"/>
          <w:szCs w:val="24"/>
          <w:highlight w:val="none"/>
        </w:rPr>
        <w:t xml:space="preserve">JSZC-320703-JSWD-G2026-0033</w:t>
      </w:r>
      <w:r>
        <w:rPr>
          <w:rFonts w:ascii="宋体;SimSun" w:hAnsi="宋体;SimSun" w:eastAsia="宋体;SimSun" w:cs="宋体;SimSun"/>
          <w:b/>
          <w:bCs/>
          <w:color w:val="auto"/>
          <w:sz w:val="32"/>
          <w:szCs w:val="24"/>
          <w:highlight w:val="none"/>
        </w:rPr>
        <w:t xml:space="preserve"> </w:t>
      </w:r>
      <w:r/>
    </w:p>
    <w:p>
      <w:pPr>
        <w:jc w:val="center"/>
        <w:spacing w:line="480" w:lineRule="auto"/>
        <w:rPr>
          <w:rFonts w:ascii="宋体;SimSun" w:hAnsi="宋体;SimSun" w:eastAsia="宋体;SimSun" w:cs="宋体;SimSun"/>
          <w:b/>
          <w:color w:val="auto"/>
          <w:sz w:val="44"/>
          <w:szCs w:val="21"/>
          <w:highlight w:val="none"/>
        </w:rPr>
      </w:pPr>
      <w:r>
        <w:rPr>
          <w:rFonts w:ascii="宋体;SimSun" w:hAnsi="宋体;SimSun" w:eastAsia="宋体;SimSun" w:cs="宋体;SimSun"/>
          <w:b/>
          <w:color w:val="auto"/>
          <w:sz w:val="44"/>
          <w:szCs w:val="21"/>
          <w:highlight w:val="none"/>
        </w:rPr>
      </w:r>
      <w:r/>
    </w:p>
    <w:p>
      <w:pPr>
        <w:spacing w:line="480" w:lineRule="auto"/>
        <w:rPr>
          <w:rFonts w:ascii="宋体;SimSun" w:hAnsi="宋体;SimSun" w:eastAsia="宋体;SimSun" w:cs="宋体;SimSun"/>
          <w:b/>
          <w:color w:val="auto"/>
          <w:sz w:val="44"/>
          <w:szCs w:val="21"/>
          <w:highlight w:val="none"/>
        </w:rPr>
      </w:pPr>
      <w:r>
        <w:rPr>
          <w:rFonts w:ascii="宋体;SimSun" w:hAnsi="宋体;SimSun" w:eastAsia="宋体;SimSun" w:cs="宋体;SimSun"/>
          <w:b/>
          <w:color w:val="auto"/>
          <w:sz w:val="44"/>
          <w:szCs w:val="21"/>
          <w:highlight w:val="none"/>
        </w:rPr>
      </w:r>
      <w:r/>
    </w:p>
    <w:p>
      <w:pPr>
        <w:ind w:firstLine="1285"/>
        <w:spacing w:before="240" w:after="240"/>
        <w:rPr>
          <w:rFonts w:ascii="宋体;SimSun" w:hAnsi="宋体;SimSun" w:eastAsia="宋体;SimSun" w:cs="宋体;SimSun"/>
          <w:b/>
          <w:color w:val="auto"/>
          <w:sz w:val="32"/>
          <w:highlight w:val="none"/>
        </w:rPr>
      </w:pPr>
      <w:r>
        <w:rPr>
          <w:rFonts w:ascii="宋体;SimSun" w:hAnsi="宋体;SimSun" w:eastAsia="宋体;SimSun" w:cs="宋体;SimSun"/>
          <w:b/>
          <w:color w:val="auto"/>
          <w:sz w:val="32"/>
          <w:highlight w:val="none"/>
        </w:rPr>
        <w:t xml:space="preserve">采购人：江苏连云经济开发区管理委员会</w:t>
      </w:r>
      <w:r/>
    </w:p>
    <w:p>
      <w:pPr>
        <w:ind w:firstLine="1285"/>
        <w:spacing w:before="240" w:after="240"/>
        <w:rPr>
          <w:rFonts w:ascii="宋体;SimSun" w:hAnsi="宋体;SimSun" w:eastAsia="宋体;SimSun" w:cs="宋体;SimSun"/>
          <w:b/>
          <w:color w:val="auto"/>
          <w:sz w:val="32"/>
          <w:highlight w:val="none"/>
        </w:rPr>
      </w:pPr>
      <w:r>
        <w:rPr>
          <w:rFonts w:ascii="宋体;SimSun" w:hAnsi="宋体;SimSun" w:eastAsia="宋体;SimSun" w:cs="宋体;SimSun"/>
          <w:b/>
          <w:color w:val="auto"/>
          <w:sz w:val="32"/>
          <w:highlight w:val="none"/>
        </w:rPr>
        <w:t xml:space="preserve">采购代理机构：江苏万达工程造价事务所有限公司</w:t>
      </w:r>
      <w:r/>
    </w:p>
    <w:p>
      <w:pPr>
        <w:jc w:val="center"/>
        <w:spacing w:before="120" w:after="120" w:line="360" w:lineRule="auto"/>
        <w:rPr>
          <w:rFonts w:ascii="宋体;SimSun" w:hAnsi="宋体;SimSun" w:eastAsia="宋体;SimSun" w:cs="宋体;SimSun"/>
          <w:b/>
          <w:bCs/>
          <w:color w:val="auto"/>
          <w:sz w:val="32"/>
          <w:szCs w:val="24"/>
          <w:highlight w:val="none"/>
        </w:rPr>
      </w:pPr>
      <w:r>
        <w:rPr>
          <w:rFonts w:ascii="宋体;SimSun" w:hAnsi="宋体;SimSun" w:eastAsia="宋体;SimSun" w:cs="宋体;SimSun"/>
          <w:b/>
          <w:bCs/>
          <w:color w:val="auto"/>
          <w:sz w:val="32"/>
          <w:szCs w:val="24"/>
          <w:highlight w:val="none"/>
        </w:rPr>
        <w:t xml:space="preserve">2026年</w:t>
      </w:r>
      <w:r>
        <w:rPr>
          <w:rFonts w:hint="eastAsia" w:ascii="宋体;SimSun" w:hAnsi="宋体;SimSun" w:eastAsia="宋体;SimSun" w:cs="宋体;SimSun"/>
          <w:b/>
          <w:bCs/>
          <w:color w:val="auto"/>
          <w:sz w:val="32"/>
          <w:szCs w:val="24"/>
          <w:highlight w:val="none"/>
          <w:lang w:val="en-US" w:eastAsia="zh-CN"/>
        </w:rPr>
        <w:t xml:space="preserve">7</w:t>
      </w:r>
      <w:r>
        <w:rPr>
          <w:rFonts w:ascii="宋体;SimSun" w:hAnsi="宋体;SimSun" w:eastAsia="宋体;SimSun" w:cs="宋体;SimSun"/>
          <w:b/>
          <w:bCs/>
          <w:color w:val="auto"/>
          <w:sz w:val="32"/>
          <w:szCs w:val="24"/>
          <w:highlight w:val="none"/>
        </w:rPr>
        <w:t xml:space="preserve">月</w:t>
      </w:r>
      <w:r/>
    </w:p>
    <w:sdt>
      <w:sdtPr>
        <w15:appearance w15:val="boundingBox"/>
        <w:id w:val="233056331"/>
        <w:docPartObj>
          <w:docPartGallery w:val="Table of Contents"/>
          <w:docPartUnique w:val="true"/>
        </w:docPartObj>
        <w:rPr>
          <w:color w:val="auto"/>
          <w:sz w:val="32"/>
          <w:highlight w:val="none"/>
        </w:rPr>
      </w:sdtPr>
      <w:sdtContent>
        <w:p>
          <w:pPr>
            <w:jc w:val="center"/>
            <w:spacing w:before="120" w:after="120" w:line="360" w:lineRule="auto"/>
            <w:rPr>
              <w:rFonts w:ascii="宋体;SimSun" w:hAnsi="宋体;SimSun" w:eastAsia="宋体;SimSun" w:cs="宋体;SimSun"/>
              <w:color w:val="auto"/>
              <w:sz w:val="24"/>
              <w:highlight w:val="none"/>
            </w:rPr>
          </w:pPr>
          <w:r>
            <w:rPr>
              <w:color w:val="auto"/>
              <w:highlight w:val="none"/>
            </w:rPr>
            <w:fldChar w:fldCharType="begin"/>
          </w:r>
          <w:r>
            <w:rPr>
              <w:rFonts w:ascii="宋体;SimSun" w:hAnsi="宋体;SimSun" w:eastAsia="宋体;SimSun" w:cs="宋体;SimSun"/>
              <w:color w:val="auto"/>
              <w:sz w:val="24"/>
              <w:highlight w:val="none"/>
            </w:rPr>
            <w:instrText xml:space="preserve"> TOC \o "1-1" \u </w:instrText>
          </w:r>
          <w:r>
            <w:rPr>
              <w:color w:val="auto"/>
              <w:sz w:val="24"/>
              <w:highlight w:val="none"/>
            </w:rPr>
            <w:fldChar w:fldCharType="separate"/>
          </w:r>
          <w:r/>
        </w:p>
        <w:p>
          <w:pPr>
            <w:jc w:val="center"/>
            <w:keepLines/>
            <w:keepNext/>
            <w:spacing w:line="360" w:lineRule="auto"/>
            <w:rPr>
              <w:rFonts w:ascii="宋体;SimSun" w:hAnsi="宋体;SimSun" w:eastAsia="宋体;SimSun" w:cs="宋体;SimSun"/>
              <w:bCs/>
              <w:color w:val="auto"/>
              <w:sz w:val="44"/>
              <w:szCs w:val="44"/>
              <w:highlight w:val="none"/>
            </w:rPr>
            <w:outlineLvl w:val="0"/>
          </w:pPr>
          <w:r>
            <w:rPr>
              <w:rFonts w:ascii="宋体;SimSun" w:hAnsi="宋体;SimSun" w:eastAsia="宋体;SimSun" w:cs="宋体;SimSun"/>
              <w:bCs/>
              <w:color w:val="auto"/>
              <w:sz w:val="44"/>
              <w:szCs w:val="44"/>
              <w:highlight w:val="none"/>
            </w:rPr>
            <w:t xml:space="preserve">目  录</w:t>
          </w:r>
          <w:r/>
        </w:p>
        <w:p>
          <w:pPr>
            <w:pStyle w:val="1020"/>
            <w:rPr>
              <w:rFonts w:ascii="宋体;SimSun" w:hAnsi="宋体;SimSun" w:eastAsia="宋体;SimSun" w:cs="宋体;SimSun"/>
              <w:bCs/>
              <w:color w:val="auto"/>
              <w:sz w:val="28"/>
              <w:szCs w:val="44"/>
              <w:highlight w:val="none"/>
            </w:rPr>
          </w:pPr>
          <w:r>
            <w:rPr>
              <w:rFonts w:ascii="宋体;SimSun" w:hAnsi="宋体;SimSun" w:eastAsia="宋体;SimSun" w:cs="宋体;SimSun"/>
              <w:bCs/>
              <w:color w:val="auto"/>
              <w:sz w:val="28"/>
              <w:szCs w:val="44"/>
              <w:highlight w:val="none"/>
            </w:rPr>
          </w:r>
          <w:r/>
        </w:p>
        <w:p>
          <w:pPr>
            <w:pStyle w:val="1020"/>
            <w:rPr>
              <w:rFonts w:ascii="宋体;SimSun" w:hAnsi="宋体;SimSun" w:eastAsia="宋体;SimSun" w:cs="宋体;SimSun"/>
              <w:color w:val="auto"/>
              <w:sz w:val="28"/>
              <w:highlight w:val="none"/>
            </w:rPr>
          </w:pPr>
          <w:r>
            <w:rPr>
              <w:rFonts w:ascii="宋体;SimSun" w:hAnsi="宋体;SimSun" w:eastAsia="宋体;SimSun" w:cs="宋体;SimSun"/>
              <w:color w:val="auto"/>
              <w:sz w:val="28"/>
              <w:highlight w:val="none"/>
            </w:rPr>
            <w:t xml:space="preserve">第一章  投标邀请</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"__RefHeading___Toc162361610" \h </w:instrText>
          </w:r>
          <w:r>
            <w:rPr>
              <w:color w:val="auto"/>
              <w:highlight w:val="none"/>
            </w:rPr>
            <w:fldChar w:fldCharType="separate"/>
          </w:r>
          <w:r>
            <w:rPr>
              <w:rStyle w:val="1106"/>
              <w:rFonts w:ascii="宋体;SimSun" w:hAnsi="宋体;SimSun" w:eastAsia="宋体;SimSun" w:cs="宋体;SimSun"/>
              <w:color w:val="auto"/>
              <w:sz w:val="28"/>
              <w:highlight w:val="none"/>
            </w:rPr>
            <w:t xml:space="preserve">1</w:t>
          </w:r>
          <w:r>
            <w:rPr>
              <w:rStyle w:val="1106"/>
              <w:rFonts w:ascii="宋体;SimSun" w:hAnsi="宋体;SimSun" w:eastAsia="宋体;SimSun" w:cs="宋体;SimSun"/>
              <w:color w:val="auto"/>
              <w:sz w:val="28"/>
              <w:highlight w:val="none"/>
            </w:rPr>
            <w:fldChar w:fldCharType="end"/>
          </w:r>
          <w:r/>
        </w:p>
        <w:p>
          <w:pPr>
            <w:pStyle w:val="1020"/>
            <w:rPr>
              <w:rFonts w:ascii="宋体;SimSun" w:hAnsi="宋体;SimSun" w:eastAsia="宋体;SimSun" w:cs="宋体;SimSun"/>
              <w:color w:val="auto"/>
              <w:sz w:val="28"/>
              <w:highlight w:val="none"/>
            </w:rPr>
          </w:pPr>
          <w:r>
            <w:rPr>
              <w:rFonts w:ascii="宋体;SimSun" w:hAnsi="宋体;SimSun" w:eastAsia="宋体;SimSun" w:cs="宋体;SimSun"/>
              <w:color w:val="auto"/>
              <w:sz w:val="28"/>
              <w:highlight w:val="none"/>
            </w:rPr>
            <w:t xml:space="preserve">第二章  投标人须知</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"__RefHeading___Toc162361611" \h </w:instrText>
          </w:r>
          <w:r>
            <w:rPr>
              <w:color w:val="auto"/>
              <w:highlight w:val="none"/>
            </w:rPr>
            <w:fldChar w:fldCharType="separate"/>
          </w:r>
          <w:r>
            <w:rPr>
              <w:rStyle w:val="1106"/>
              <w:rFonts w:ascii="宋体;SimSun" w:hAnsi="宋体;SimSun" w:eastAsia="宋体;SimSun" w:cs="宋体;SimSun"/>
              <w:color w:val="auto"/>
              <w:sz w:val="28"/>
              <w:highlight w:val="none"/>
            </w:rPr>
            <w:t xml:space="preserve">5</w:t>
          </w:r>
          <w:r>
            <w:rPr>
              <w:rStyle w:val="1106"/>
              <w:rFonts w:ascii="宋体;SimSun" w:hAnsi="宋体;SimSun" w:eastAsia="宋体;SimSun" w:cs="宋体;SimSun"/>
              <w:color w:val="auto"/>
              <w:sz w:val="28"/>
              <w:highlight w:val="none"/>
            </w:rPr>
            <w:fldChar w:fldCharType="end"/>
          </w:r>
          <w:r/>
        </w:p>
        <w:p>
          <w:pPr>
            <w:pStyle w:val="1020"/>
            <w:rPr>
              <w:rFonts w:ascii="宋体;SimSun" w:hAnsi="宋体;SimSun" w:eastAsia="宋体;SimSun" w:cs="宋体;SimSun"/>
              <w:color w:val="auto"/>
              <w:sz w:val="28"/>
              <w:highlight w:val="none"/>
            </w:rPr>
          </w:pPr>
          <w:r>
            <w:rPr>
              <w:rFonts w:ascii="宋体;SimSun" w:hAnsi="宋体;SimSun" w:eastAsia="宋体;SimSun" w:cs="宋体;SimSun"/>
              <w:color w:val="auto"/>
              <w:sz w:val="28"/>
              <w:highlight w:val="none"/>
            </w:rPr>
            <w:t xml:space="preserve">第三章  合同文本</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"__RefHeading___Toc162361612" \h </w:instrText>
          </w:r>
          <w:r>
            <w:rPr>
              <w:color w:val="auto"/>
              <w:highlight w:val="none"/>
            </w:rPr>
            <w:fldChar w:fldCharType="separate"/>
          </w:r>
          <w:r>
            <w:rPr>
              <w:rStyle w:val="1106"/>
              <w:rFonts w:ascii="宋体;SimSun" w:hAnsi="宋体;SimSun" w:eastAsia="宋体;SimSun" w:cs="宋体;SimSun"/>
              <w:color w:val="auto"/>
              <w:sz w:val="28"/>
              <w:highlight w:val="none"/>
            </w:rPr>
            <w:t xml:space="preserve">21</w:t>
          </w:r>
          <w:r>
            <w:rPr>
              <w:rStyle w:val="1106"/>
              <w:rFonts w:ascii="宋体;SimSun" w:hAnsi="宋体;SimSun" w:eastAsia="宋体;SimSun" w:cs="宋体;SimSun"/>
              <w:color w:val="auto"/>
              <w:sz w:val="28"/>
              <w:highlight w:val="none"/>
            </w:rPr>
            <w:fldChar w:fldCharType="end"/>
          </w:r>
          <w:r/>
        </w:p>
        <w:p>
          <w:pPr>
            <w:pStyle w:val="1020"/>
            <w:rPr>
              <w:rFonts w:ascii="宋体;SimSun" w:hAnsi="宋体;SimSun" w:eastAsia="宋体;SimSun" w:cs="宋体;SimSun"/>
              <w:color w:val="auto"/>
              <w:sz w:val="28"/>
              <w:highlight w:val="none"/>
            </w:rPr>
          </w:pPr>
          <w:r>
            <w:rPr>
              <w:rFonts w:ascii="宋体;SimSun" w:hAnsi="宋体;SimSun" w:eastAsia="宋体;SimSun" w:cs="宋体;SimSun"/>
              <w:color w:val="auto"/>
              <w:sz w:val="28"/>
              <w:highlight w:val="none"/>
            </w:rPr>
            <w:t xml:space="preserve">第四章  采购需求</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"__RefHeading___Toc162361613" \h </w:instrText>
          </w:r>
          <w:r>
            <w:rPr>
              <w:color w:val="auto"/>
              <w:highlight w:val="none"/>
            </w:rPr>
            <w:fldChar w:fldCharType="separate"/>
          </w:r>
          <w:r>
            <w:rPr>
              <w:rStyle w:val="1106"/>
              <w:rFonts w:ascii="宋体;SimSun" w:hAnsi="宋体;SimSun" w:eastAsia="宋体;SimSun" w:cs="宋体;SimSun"/>
              <w:color w:val="auto"/>
              <w:sz w:val="28"/>
              <w:highlight w:val="none"/>
            </w:rPr>
            <w:t xml:space="preserve">22</w:t>
          </w:r>
          <w:r>
            <w:rPr>
              <w:rStyle w:val="1106"/>
              <w:rFonts w:ascii="宋体;SimSun" w:hAnsi="宋体;SimSun" w:eastAsia="宋体;SimSun" w:cs="宋体;SimSun"/>
              <w:color w:val="auto"/>
              <w:sz w:val="28"/>
              <w:highlight w:val="none"/>
            </w:rPr>
            <w:fldChar w:fldCharType="end"/>
          </w:r>
          <w:r/>
        </w:p>
        <w:p>
          <w:pPr>
            <w:pStyle w:val="1020"/>
            <w:rPr>
              <w:rFonts w:ascii="宋体;SimSun" w:hAnsi="宋体;SimSun" w:eastAsia="宋体;SimSun" w:cs="宋体;SimSun"/>
              <w:color w:val="auto"/>
              <w:sz w:val="28"/>
              <w:highlight w:val="none"/>
            </w:rPr>
          </w:pPr>
          <w:r>
            <w:rPr>
              <w:rFonts w:ascii="宋体;SimSun" w:hAnsi="宋体;SimSun" w:eastAsia="宋体;SimSun" w:cs="宋体;SimSun"/>
              <w:color w:val="auto"/>
              <w:sz w:val="28"/>
              <w:highlight w:val="none"/>
            </w:rPr>
            <w:t xml:space="preserve">第五章  评标方法与评标标准</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"__RefHeading___Toc162361614" \h </w:instrText>
          </w:r>
          <w:r>
            <w:rPr>
              <w:color w:val="auto"/>
              <w:highlight w:val="none"/>
            </w:rPr>
            <w:fldChar w:fldCharType="separate"/>
          </w:r>
          <w:r>
            <w:rPr>
              <w:rStyle w:val="1106"/>
              <w:rFonts w:ascii="宋体;SimSun" w:hAnsi="宋体;SimSun" w:eastAsia="宋体;SimSun" w:cs="宋体;SimSun"/>
              <w:color w:val="auto"/>
              <w:sz w:val="28"/>
              <w:highlight w:val="none"/>
            </w:rPr>
            <w:t xml:space="preserve">25</w:t>
          </w:r>
          <w:r>
            <w:rPr>
              <w:rStyle w:val="1106"/>
              <w:rFonts w:ascii="宋体;SimSun" w:hAnsi="宋体;SimSun" w:eastAsia="宋体;SimSun" w:cs="宋体;SimSun"/>
              <w:color w:val="auto"/>
              <w:sz w:val="28"/>
              <w:highlight w:val="none"/>
            </w:rPr>
            <w:fldChar w:fldCharType="end"/>
          </w:r>
          <w:r/>
        </w:p>
        <w:p>
          <w:pPr>
            <w:pStyle w:val="1020"/>
            <w:rPr>
              <w:color w:val="auto"/>
              <w:highlight w:val="none"/>
            </w:rPr>
          </w:pPr>
          <w:r>
            <w:rPr>
              <w:rFonts w:ascii="宋体;SimSun" w:hAnsi="宋体;SimSun" w:eastAsia="宋体;SimSun" w:cs="宋体;SimSun"/>
              <w:color w:val="auto"/>
              <w:sz w:val="28"/>
              <w:highlight w:val="none"/>
            </w:rPr>
            <w:t xml:space="preserve">第六章  投标文件格式</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"__RefHeading___Toc162361615" \h </w:instrText>
          </w:r>
          <w:r>
            <w:rPr>
              <w:color w:val="auto"/>
              <w:highlight w:val="none"/>
            </w:rPr>
            <w:fldChar w:fldCharType="separate"/>
          </w:r>
          <w:r>
            <w:rPr>
              <w:rStyle w:val="1106"/>
              <w:rFonts w:ascii="宋体;SimSun" w:hAnsi="宋体;SimSun" w:eastAsia="宋体;SimSun" w:cs="宋体;SimSun"/>
              <w:color w:val="auto"/>
              <w:sz w:val="28"/>
              <w:highlight w:val="none"/>
            </w:rPr>
            <w:t xml:space="preserve">41</w:t>
          </w:r>
          <w:r>
            <w:rPr>
              <w:rStyle w:val="1106"/>
              <w:rFonts w:ascii="宋体;SimSun" w:hAnsi="宋体;SimSun" w:eastAsia="宋体;SimSun" w:cs="宋体;SimSun"/>
              <w:color w:val="auto"/>
              <w:sz w:val="28"/>
              <w:highlight w:val="none"/>
            </w:rPr>
            <w:fldChar w:fldCharType="end"/>
          </w:r>
          <w:r>
            <w:rPr>
              <w:rStyle w:val="1106"/>
              <w:rFonts w:ascii="宋体;SimSun" w:hAnsi="宋体;SimSun" w:eastAsia="宋体;SimSun" w:cs="宋体;SimSun"/>
              <w:color w:val="auto"/>
              <w:sz w:val="28"/>
              <w:highlight w:val="none"/>
            </w:rPr>
            <w:fldChar w:fldCharType="end"/>
          </w:r>
          <w:r/>
        </w:p>
      </w:sdtContent>
    </w:sdt>
    <w:p>
      <w:pPr>
        <w:jc w:val="left"/>
        <w:spacing w:line="360" w:lineRule="auto"/>
        <w:widowControl/>
        <w:rPr>
          <w:rFonts w:ascii="宋体;SimSun" w:hAnsi="宋体;SimSun" w:eastAsia="宋体;SimSun" w:cs="宋体;SimSun"/>
          <w:color w:val="auto"/>
          <w:sz w:val="28"/>
          <w:highlight w:val="none"/>
        </w:rPr>
        <w:sectPr>
          <w:footerReference w:type="default" r:id="rId14"/>
          <w:footnotePr/>
          <w:endnotePr/>
          <w:type w:val="nextPage"/>
          <w:pgSz w:w="11906" w:h="16838" w:orient="portrait"/>
          <w:pgMar w:top="1134" w:right="1134" w:bottom="1134" w:left="1134" w:header="0" w:footer="992" w:gutter="0"/>
          <w:cols w:num="1" w:sep="0" w:space="720" w:equalWidth="1"/>
          <w:docGrid w:linePitch="360"/>
        </w:sectPr>
      </w:pPr>
      <w:r>
        <w:rPr>
          <w:rFonts w:ascii="宋体;SimSun" w:hAnsi="宋体;SimSun" w:eastAsia="宋体;SimSun" w:cs="宋体;SimSun"/>
          <w:color w:val="auto"/>
          <w:sz w:val="28"/>
          <w:highlight w:val="none"/>
        </w:rPr>
      </w:r>
      <w:r/>
    </w:p>
    <w:p>
      <w:pPr>
        <w:pStyle w:val="996"/>
        <w:jc w:val="center"/>
        <w:spacing w:line="360" w:lineRule="auto"/>
        <w:rPr>
          <w:color w:val="auto"/>
          <w:highlight w:val="none"/>
        </w:rPr>
      </w:pPr>
      <w:r/>
      <w:bookmarkStart w:id="0" w:name="__RefHeading___Toc162361610"/>
      <w:r/>
      <w:bookmarkEnd w:id="0"/>
      <w:r>
        <w:rPr>
          <w:color w:val="auto"/>
          <w:highlight w:val="none"/>
        </w:rPr>
        <w:t xml:space="preserve">第一章 投标邀请</w:t>
      </w:r>
      <w:r/>
    </w:p>
    <w:tbl>
      <w:tblPr>
        <w:tblStyle w:val="1006"/>
        <w:tblW w:w="9242" w:type="dxa"/>
        <w:tblInd w:w="-113" w:type="dxa"/>
        <w:tblLayout w:type="fixed"/>
        <w:tblCellMar>
          <w:left w:w="108" w:type="dxa"/>
          <w:top w:w="0" w:type="dxa"/>
          <w:right w:w="108" w:type="dxa"/>
          <w:bottom w:w="0" w:type="dxa"/>
        </w:tblCellMar>
        <w:tblLook w:val="04A0" w:firstRow="1" w:lastRow="0" w:firstColumn="1" w:lastColumn="0" w:noHBand="0" w:noVBand="1"/>
      </w:tblPr>
      <w:tblGrid>
        <w:gridCol w:w="9242"/>
      </w:tblGrid>
      <w:tr>
        <w:trPr/>
        <w:tc>
          <w:tcPr>
            <w:tcBorders>
              <w:top w:val="single" w:color="000000" w:sz="4" w:space="0"/>
              <w:left w:val="single" w:color="000000" w:sz="4" w:space="0"/>
              <w:bottom w:val="single" w:color="000000" w:sz="4" w:space="0"/>
              <w:right w:val="single" w:color="000000" w:sz="4" w:space="0"/>
            </w:tcBorders>
            <w:tcW w:w="9242" w:type="dxa"/>
            <w:textDirection w:val="lrTb"/>
            <w:noWrap w:val="false"/>
          </w:tcPr>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项目概况</w:t>
            </w:r>
            <w:r/>
          </w:p>
          <w:p>
            <w:pPr>
              <w:spacing w:line="500" w:lineRule="exact"/>
              <w:rPr>
                <w:color w:val="auto"/>
                <w:highlight w:val="none"/>
              </w:rPr>
            </w:pPr>
            <w:r>
              <w:rPr>
                <w:rFonts w:ascii="宋体;SimSun" w:hAnsi="宋体;SimSun" w:eastAsia="宋体;SimSun" w:cs="宋体;SimSun"/>
                <w:b/>
                <w:color w:val="auto"/>
                <w:sz w:val="24"/>
                <w:szCs w:val="24"/>
                <w:highlight w:val="none"/>
                <w:u w:val="single"/>
              </w:rPr>
              <w:t xml:space="preserve">连云港石化产业基地拓展区（板桥片区）智慧平台项目</w:t>
            </w:r>
            <w:r>
              <w:rPr>
                <w:rFonts w:ascii="宋体;SimSun" w:hAnsi="宋体;SimSun" w:eastAsia="宋体;SimSun" w:cs="宋体;SimSun"/>
                <w:color w:val="auto"/>
                <w:sz w:val="24"/>
                <w:szCs w:val="24"/>
                <w:highlight w:val="none"/>
              </w:rPr>
              <w:t xml:space="preserve">招标项目的潜在投标人应在</w:t>
            </w:r>
            <w:r>
              <w:rPr>
                <w:rFonts w:ascii="宋体;SimSun" w:hAnsi="宋体;SimSun" w:eastAsia="宋体;SimSun" w:cs="宋体;SimSun"/>
                <w:b/>
                <w:color w:val="auto"/>
                <w:sz w:val="24"/>
                <w:szCs w:val="24"/>
                <w:highlight w:val="none"/>
                <w:u w:val="single"/>
              </w:rPr>
              <w:t xml:space="preserve">江苏政府采购网</w:t>
            </w:r>
            <w:r>
              <w:rPr>
                <w:rFonts w:ascii="宋体;SimSun" w:hAnsi="宋体;SimSun" w:eastAsia="宋体;SimSun" w:cs="宋体;SimSun"/>
                <w:color w:val="auto"/>
                <w:sz w:val="24"/>
                <w:szCs w:val="24"/>
                <w:highlight w:val="none"/>
              </w:rPr>
              <w:t xml:space="preserve">自行免费下载招标文件，并于</w:t>
            </w:r>
            <w:r>
              <w:rPr>
                <w:rFonts w:ascii="宋体;SimSun" w:hAnsi="宋体;SimSun" w:eastAsia="宋体;SimSun" w:cs="宋体;SimSun"/>
                <w:b/>
                <w:color w:val="auto"/>
                <w:sz w:val="24"/>
                <w:szCs w:val="24"/>
                <w:highlight w:val="none"/>
                <w:u w:val="single"/>
              </w:rPr>
              <w:t xml:space="preserve">2026年</w:t>
            </w:r>
            <w:r>
              <w:rPr>
                <w:rFonts w:hint="eastAsia" w:ascii="宋体;SimSun" w:hAnsi="宋体;SimSun" w:eastAsia="宋体;SimSun" w:cs="宋体;SimSun"/>
                <w:b/>
                <w:color w:val="auto"/>
                <w:sz w:val="24"/>
                <w:szCs w:val="24"/>
                <w:highlight w:val="none"/>
                <w:u w:val="single"/>
                <w:lang w:val="en-US" w:eastAsia="zh-CN"/>
              </w:rPr>
              <w:t xml:space="preserve">8</w:t>
            </w:r>
            <w:r>
              <w:rPr>
                <w:rFonts w:ascii="宋体;SimSun" w:hAnsi="宋体;SimSun" w:eastAsia="宋体;SimSun" w:cs="宋体;SimSun"/>
                <w:b/>
                <w:color w:val="auto"/>
                <w:sz w:val="24"/>
                <w:szCs w:val="24"/>
                <w:highlight w:val="none"/>
                <w:u w:val="single"/>
              </w:rPr>
              <w:t xml:space="preserve">月</w:t>
            </w:r>
            <w:r>
              <w:rPr>
                <w:rFonts w:hint="eastAsia" w:ascii="宋体;SimSun" w:hAnsi="宋体;SimSun" w:eastAsia="宋体;SimSun" w:cs="宋体;SimSun"/>
                <w:b/>
                <w:color w:val="auto"/>
                <w:sz w:val="24"/>
                <w:szCs w:val="24"/>
                <w:highlight w:val="none"/>
                <w:u w:val="single"/>
                <w:lang w:val="en-US" w:eastAsia="zh-CN"/>
              </w:rPr>
              <w:t xml:space="preserve">25</w:t>
            </w:r>
            <w:r>
              <w:rPr>
                <w:rFonts w:ascii="宋体;SimSun" w:hAnsi="宋体;SimSun" w:eastAsia="宋体;SimSun" w:cs="宋体;SimSun"/>
                <w:b/>
                <w:color w:val="auto"/>
                <w:sz w:val="24"/>
                <w:szCs w:val="24"/>
                <w:highlight w:val="none"/>
                <w:u w:val="single"/>
              </w:rPr>
              <w:t xml:space="preserve">日9:00:00</w:t>
            </w:r>
            <w:r>
              <w:rPr>
                <w:rFonts w:ascii="宋体;SimSun" w:hAnsi="宋体;SimSun" w:eastAsia="宋体;SimSun" w:cs="宋体;SimSun"/>
                <w:color w:val="auto"/>
                <w:sz w:val="24"/>
                <w:szCs w:val="24"/>
                <w:highlight w:val="none"/>
              </w:rPr>
              <w:t xml:space="preserve">（北京时间）前递交（上传）投标文件。</w:t>
            </w:r>
            <w:r/>
          </w:p>
        </w:tc>
      </w:tr>
    </w:tbl>
    <w:p>
      <w:pPr>
        <w:pStyle w:val="997"/>
        <w:spacing w:before="0" w:after="0" w:line="360" w:lineRule="auto"/>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一、项目基本情况</w:t>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项目编号：</w:t>
      </w:r>
      <w:r>
        <w:rPr>
          <w:rFonts w:ascii="宋体;SimSun" w:hAnsi="宋体;SimSun" w:eastAsia="宋体;SimSun" w:cs="宋体;SimSun"/>
          <w:color w:val="auto"/>
          <w:sz w:val="24"/>
          <w:szCs w:val="24"/>
          <w:highlight w:val="none"/>
        </w:rPr>
        <w:t xml:space="preserve">JSZC-320703-JSWD-G2026-0033</w:t>
      </w:r>
      <w:r>
        <w:rPr>
          <w:rFonts w:ascii="宋体;SimSun" w:hAnsi="宋体;SimSun" w:eastAsia="宋体;SimSun" w:cs="宋体;SimSun"/>
          <w:color w:val="auto"/>
          <w:sz w:val="24"/>
          <w:szCs w:val="24"/>
          <w:highlight w:val="none"/>
        </w:rP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项目名称：连云港石化产业基地拓展区（板桥片区）智慧平台项目</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采购方式：公开招标</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最高限价：3676.2843万元，投标报价超过最高限价的投标无效。</w:t>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采购需求：连云港石化产业基地拓展区（板桥片区）智慧平台项目建设，主要由软件平台建设、配套硬件设备设施、运营服务等部分组成。具体要求详见第四章“采购需求”。</w:t>
      </w:r>
      <w:bookmarkStart w:id="7" w:name="_GoBack"/>
      <w:r/>
      <w:bookmarkEnd w:id="7"/>
      <w:r/>
      <w:r/>
    </w:p>
    <w:p>
      <w:pPr>
        <w:ind w:firstLine="480"/>
        <w:jc w:val="left"/>
        <w:spacing w:line="360" w:lineRule="auto"/>
        <w:widowControl/>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对项目需求部分的询问、质疑请与采购人联系，由采购人负责答复。</w:t>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合同履行期限（服务期限）：180日历天</w:t>
      </w:r>
      <w:r>
        <w:rPr>
          <w:rFonts w:hint="eastAsia" w:ascii="宋体;SimSun" w:hAnsi="宋体;SimSun" w:eastAsia="宋体;SimSun" w:cs="宋体;SimSun"/>
          <w:color w:val="auto"/>
          <w:sz w:val="24"/>
          <w:szCs w:val="24"/>
          <w:highlight w:val="none"/>
          <w:lang w:eastAsia="zh-CN"/>
        </w:rPr>
        <w:t xml:space="preserve">，</w:t>
      </w:r>
      <w:r>
        <w:rPr>
          <w:rFonts w:hint="eastAsia" w:ascii="宋体;SimSun" w:hAnsi="宋体;SimSun" w:eastAsia="宋体;SimSun" w:cs="宋体;SimSun"/>
          <w:color w:val="auto"/>
          <w:sz w:val="24"/>
          <w:szCs w:val="24"/>
          <w:highlight w:val="none"/>
          <w:lang w:val="en-US" w:eastAsia="zh-CN"/>
        </w:rPr>
        <w:t xml:space="preserve">同时</w:t>
      </w:r>
      <w:r>
        <w:rPr>
          <w:rFonts w:ascii="宋体;SimSun" w:hAnsi="宋体;SimSun" w:eastAsia="宋体;SimSun" w:cs="宋体;SimSun"/>
          <w:color w:val="auto"/>
          <w:sz w:val="24"/>
          <w:szCs w:val="24"/>
          <w:highlight w:val="none"/>
        </w:rPr>
        <w:t xml:space="preserve">提供为期3年的平台运营服务</w:t>
      </w:r>
      <w:r>
        <w:rPr>
          <w:rFonts w:ascii="宋体;SimSun" w:hAnsi="宋体;SimSun" w:eastAsia="宋体;SimSun" w:cs="宋体;SimSun"/>
          <w:bCs/>
          <w:color w:val="auto"/>
          <w:sz w:val="24"/>
          <w:szCs w:val="24"/>
          <w:highlight w:val="none"/>
        </w:rPr>
        <w:t xml:space="preserve">；</w:t>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本项目</w:t>
      </w:r>
      <w:r>
        <w:rPr>
          <w:rFonts w:ascii="宋体;SimSun" w:hAnsi="宋体;SimSun" w:eastAsia="宋体;SimSun" w:cs="宋体;SimSun"/>
          <w:b/>
          <w:bCs/>
          <w:color w:val="auto"/>
          <w:sz w:val="24"/>
          <w:szCs w:val="24"/>
          <w:highlight w:val="none"/>
          <w:u w:val="single"/>
        </w:rPr>
        <w:t xml:space="preserve">不接受</w:t>
      </w:r>
      <w:r>
        <w:rPr>
          <w:rFonts w:ascii="宋体;SimSun" w:hAnsi="宋体;SimSun" w:eastAsia="宋体;SimSun" w:cs="宋体;SimSun"/>
          <w:color w:val="auto"/>
          <w:sz w:val="24"/>
          <w:szCs w:val="24"/>
          <w:highlight w:val="none"/>
        </w:rPr>
        <w:t xml:space="preserve">联合体投标。</w:t>
      </w:r>
      <w:r/>
    </w:p>
    <w:p>
      <w:pPr>
        <w:pStyle w:val="997"/>
        <w:spacing w:before="0" w:after="0" w:line="360" w:lineRule="auto"/>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二、申请人的资格要求</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（一）满足《中华人民共和国政府采购法》第二十二条规定，并提供下列材料：</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1.法人或者其他组织的营业执照等证明文件，自然人的身份证明；</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2.上一年度的财务状况报告（成立不满一年无需提供）；</w:t>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t xml:space="preserve">根据连财购〔2023〕4号文件精神，2、3项可以提供《财务状况报告及税收、社会保障资金缴纳情况承诺函》，详见投标文件格式。</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4.具备履行合同所必需的设备和专业技术能力的声明及证明材料；</w:t>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5.参加政府采购活动前3年内在经营活动中没有重大违法记录的书面声明。</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6.法律、行政法规规定的其他条件。</w:t>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2"/>
        <w:spacing w:line="360" w:lineRule="auto"/>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t xml:space="preserve">（二）落实政府采购政策需满足的资格要求：无。</w:t>
      </w:r>
      <w:r/>
    </w:p>
    <w:p>
      <w:pPr>
        <w:ind w:firstLine="480"/>
        <w:spacing w:line="360" w:lineRule="auto"/>
        <w:rPr>
          <w:color w:val="auto"/>
          <w:highlight w:val="none"/>
        </w:rPr>
      </w:pPr>
      <w:r>
        <w:rPr>
          <w:rFonts w:ascii="宋体;SimSun" w:hAnsi="宋体;SimSun" w:eastAsia="宋体;SimSun" w:cs="宋体;SimSun"/>
          <w:b/>
          <w:color w:val="auto"/>
          <w:sz w:val="24"/>
          <w:szCs w:val="24"/>
          <w:highlight w:val="none"/>
        </w:rPr>
        <w:t xml:space="preserve">（三）本项目的特定资格要求：无</w:t>
      </w:r>
      <w:r>
        <w:rPr>
          <w:rFonts w:ascii="宋体;SimSun" w:hAnsi="宋体;SimSun" w:eastAsia="宋体;SimSun" w:cs="宋体;SimSun"/>
          <w:color w:val="auto"/>
          <w:sz w:val="24"/>
          <w:szCs w:val="24"/>
          <w:highlight w:val="none"/>
        </w:rPr>
        <w:t xml:space="preserve">。</w:t>
      </w:r>
      <w:r/>
    </w:p>
    <w:p>
      <w:pPr>
        <w:pStyle w:val="997"/>
        <w:spacing w:before="0" w:after="0" w:line="360" w:lineRule="auto"/>
        <w:rPr>
          <w:rFonts w:ascii="宋体;SimSun" w:hAnsi="宋体;SimSun" w:eastAsia="宋体;SimSun" w:cs="宋体;SimSun"/>
          <w:bCs w:val="0"/>
          <w:color w:val="auto"/>
          <w:szCs w:val="22"/>
          <w:highlight w:val="none"/>
        </w:rPr>
      </w:pPr>
      <w:r>
        <w:rPr>
          <w:rFonts w:ascii="宋体;SimSun" w:hAnsi="宋体;SimSun" w:eastAsia="宋体;SimSun" w:cs="宋体;SimSun"/>
          <w:bCs w:val="0"/>
          <w:color w:val="auto"/>
          <w:szCs w:val="22"/>
          <w:highlight w:val="none"/>
        </w:rPr>
        <w:t xml:space="preserve">三、获取招标文件</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1.时间：2026年7月</w:t>
      </w:r>
      <w:r>
        <w:rPr>
          <w:rFonts w:hint="eastAsia" w:ascii="宋体;SimSun" w:hAnsi="宋体;SimSun" w:eastAsia="宋体;SimSun" w:cs="宋体;SimSun"/>
          <w:color w:val="auto"/>
          <w:sz w:val="24"/>
          <w:szCs w:val="24"/>
          <w:highlight w:val="none"/>
          <w:lang w:val="en-US" w:eastAsia="zh-CN"/>
        </w:rPr>
        <w:t xml:space="preserve">31</w:t>
      </w:r>
      <w:r>
        <w:rPr>
          <w:rFonts w:ascii="宋体;SimSun" w:hAnsi="宋体;SimSun" w:eastAsia="宋体;SimSun" w:cs="宋体;SimSun"/>
          <w:color w:val="auto"/>
          <w:sz w:val="24"/>
          <w:szCs w:val="24"/>
          <w:highlight w:val="none"/>
        </w:rPr>
        <w:t xml:space="preserve">日至2026年</w:t>
      </w:r>
      <w:r>
        <w:rPr>
          <w:rFonts w:hint="eastAsia" w:ascii="宋体;SimSun" w:hAnsi="宋体;SimSun" w:eastAsia="宋体;SimSun" w:cs="宋体;SimSun"/>
          <w:color w:val="auto"/>
          <w:sz w:val="24"/>
          <w:szCs w:val="24"/>
          <w:highlight w:val="none"/>
          <w:lang w:val="en-US" w:eastAsia="zh-CN"/>
        </w:rPr>
        <w:t xml:space="preserve">8</w:t>
      </w:r>
      <w:r>
        <w:rPr>
          <w:rFonts w:ascii="宋体;SimSun" w:hAnsi="宋体;SimSun" w:eastAsia="宋体;SimSun" w:cs="宋体;SimSun"/>
          <w:color w:val="auto"/>
          <w:sz w:val="24"/>
          <w:szCs w:val="24"/>
          <w:highlight w:val="none"/>
        </w:rPr>
        <w:t xml:space="preserve">月</w:t>
      </w:r>
      <w:r>
        <w:rPr>
          <w:rFonts w:hint="eastAsia" w:ascii="宋体;SimSun" w:hAnsi="宋体;SimSun" w:eastAsia="宋体;SimSun" w:cs="宋体;SimSun"/>
          <w:color w:val="auto"/>
          <w:sz w:val="24"/>
          <w:szCs w:val="24"/>
          <w:highlight w:val="none"/>
          <w:lang w:val="en-US" w:eastAsia="zh-CN"/>
        </w:rPr>
        <w:t xml:space="preserve">7</w:t>
      </w:r>
      <w:r>
        <w:rPr>
          <w:rFonts w:ascii="宋体;SimSun" w:hAnsi="宋体;SimSun" w:eastAsia="宋体;SimSun" w:cs="宋体;SimSun"/>
          <w:color w:val="auto"/>
          <w:sz w:val="24"/>
          <w:szCs w:val="24"/>
          <w:highlight w:val="none"/>
        </w:rPr>
        <w:t xml:space="preserve">日23:59止（北京时间）。</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2.方式：在“江苏政府采购网”自行免费下载招标文件。</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（1）潜在供应商访问电子招标投标交易平台的网络地址和方法：</w:t>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①登录http://jszfcg.jsczt.cn/ ，或进入江苏政府采购网，点击“苏采云”进入系统。</w:t>
      </w:r>
      <w:r/>
    </w:p>
    <w:p>
      <w:pPr>
        <w:ind w:firstLine="480"/>
        <w:spacing w:line="360" w:lineRule="auto"/>
        <w:rPr>
          <w:color w:val="auto"/>
          <w:highlight w:val="none"/>
        </w:rPr>
      </w:pPr>
      <w:r>
        <w:rPr>
          <w:color w:val="auto"/>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spacing w:line="360" w:lineRule="auto"/>
        <w:rPr>
          <w:color w:val="auto"/>
          <w:highlight w:val="none"/>
        </w:rPr>
      </w:pPr>
      <w:r>
        <w:rPr>
          <w:color w:val="auto"/>
          <w:highlight w:val="none"/>
        </w:rPr>
        <w:t xml:space="preserve">④招标文件（后缀名为“.kedt”)、供应商操作手册及政府采购客户端工具可通过“苏采云”系统——已报名项目——报名详情页面内相应链接进行下载。</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⑤招标代理机构（采购代理机构）将数据电文形式的招标文件加载至“苏采云”系统，供潜在供应商下载或者查阅。</w:t>
      </w:r>
      <w:r/>
    </w:p>
    <w:p>
      <w:pPr>
        <w:pStyle w:val="997"/>
        <w:spacing w:before="0" w:after="0" w:line="360" w:lineRule="auto"/>
        <w:rPr>
          <w:rFonts w:ascii="宋体;SimSun" w:hAnsi="宋体;SimSun" w:eastAsia="宋体;SimSun" w:cs="宋体;SimSun"/>
          <w:bCs w:val="0"/>
          <w:color w:val="auto"/>
          <w:szCs w:val="22"/>
          <w:highlight w:val="none"/>
        </w:rPr>
      </w:pPr>
      <w:r>
        <w:rPr>
          <w:rFonts w:ascii="宋体;SimSun" w:hAnsi="宋体;SimSun" w:eastAsia="宋体;SimSun" w:cs="宋体;SimSun"/>
          <w:bCs w:val="0"/>
          <w:color w:val="auto"/>
          <w:szCs w:val="22"/>
          <w:highlight w:val="none"/>
        </w:rPr>
        <w:t xml:space="preserve">四、提交投标文件截止时间、开标时间和地点</w:t>
      </w:r>
      <w:r/>
    </w:p>
    <w:p>
      <w:pPr>
        <w:ind w:firstLine="480"/>
        <w:spacing w:line="360" w:lineRule="auto"/>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 xml:space="preserve">1.投标文件接收截止时间：2026年</w:t>
      </w:r>
      <w:r>
        <w:rPr>
          <w:rFonts w:hint="eastAsia" w:ascii="宋体;SimSun" w:hAnsi="宋体;SimSun" w:eastAsia="宋体;SimSun" w:cs="宋体;SimSun"/>
          <w:bCs/>
          <w:color w:val="auto"/>
          <w:sz w:val="24"/>
          <w:szCs w:val="24"/>
          <w:highlight w:val="none"/>
          <w:lang w:val="en-US" w:eastAsia="zh-CN"/>
        </w:rPr>
        <w:t xml:space="preserve">8</w:t>
      </w:r>
      <w:r>
        <w:rPr>
          <w:rFonts w:ascii="宋体;SimSun" w:hAnsi="宋体;SimSun" w:eastAsia="宋体;SimSun" w:cs="宋体;SimSun"/>
          <w:bCs/>
          <w:color w:val="auto"/>
          <w:sz w:val="24"/>
          <w:szCs w:val="24"/>
          <w:highlight w:val="none"/>
        </w:rPr>
        <w:t xml:space="preserve">月</w:t>
      </w:r>
      <w:r>
        <w:rPr>
          <w:rFonts w:hint="eastAsia" w:ascii="宋体;SimSun" w:hAnsi="宋体;SimSun" w:eastAsia="宋体;SimSun" w:cs="宋体;SimSun"/>
          <w:bCs/>
          <w:color w:val="auto"/>
          <w:sz w:val="24"/>
          <w:szCs w:val="24"/>
          <w:highlight w:val="none"/>
          <w:lang w:val="en-US" w:eastAsia="zh-CN"/>
        </w:rPr>
        <w:t xml:space="preserve">25</w:t>
      </w:r>
      <w:r>
        <w:rPr>
          <w:rFonts w:ascii="宋体;SimSun" w:hAnsi="宋体;SimSun" w:eastAsia="宋体;SimSun" w:cs="宋体;SimSun"/>
          <w:bCs/>
          <w:color w:val="auto"/>
          <w:sz w:val="24"/>
          <w:szCs w:val="24"/>
          <w:highlight w:val="none"/>
        </w:rPr>
        <w:t xml:space="preserve">日9点00分（北京时间）。</w:t>
      </w:r>
      <w:r/>
    </w:p>
    <w:p>
      <w:pPr>
        <w:ind w:firstLine="480"/>
        <w:spacing w:line="360" w:lineRule="auto"/>
        <w:rPr>
          <w:color w:val="auto"/>
          <w:highlight w:val="none"/>
        </w:rPr>
      </w:pPr>
      <w:r>
        <w:rPr>
          <w:rFonts w:ascii="宋体;SimSun" w:hAnsi="宋体;SimSun" w:eastAsia="宋体;SimSun" w:cs="宋体;SimSun"/>
          <w:bCs/>
          <w:color w:val="auto"/>
          <w:sz w:val="24"/>
          <w:szCs w:val="24"/>
          <w:highlight w:val="none"/>
        </w:rPr>
        <w:t xml:space="preserve">2.地点：“苏采云”政府采购交易系统网上开标大厅。请潜在投标单位提前安装相应的控件（详见《江苏省政府采购管理交易系统（苏采云）供应商操作手册》)并使用谷歌浏览器登录“苏采云”系统参与不见面开评标。</w:t>
      </w:r>
      <w:r/>
    </w:p>
    <w:p>
      <w:pPr>
        <w:pStyle w:val="997"/>
        <w:spacing w:before="0" w:after="0" w:line="360" w:lineRule="auto"/>
        <w:rPr>
          <w:rFonts w:ascii="宋体;SimSun" w:hAnsi="宋体;SimSun" w:eastAsia="宋体;SimSun" w:cs="宋体;SimSun"/>
          <w:bCs w:val="0"/>
          <w:color w:val="auto"/>
          <w:szCs w:val="22"/>
          <w:highlight w:val="none"/>
        </w:rPr>
      </w:pPr>
      <w:r>
        <w:rPr>
          <w:rFonts w:ascii="宋体;SimSun" w:hAnsi="宋体;SimSun" w:eastAsia="宋体;SimSun" w:cs="宋体;SimSun"/>
          <w:bCs w:val="0"/>
          <w:color w:val="auto"/>
          <w:szCs w:val="22"/>
          <w:highlight w:val="none"/>
        </w:rPr>
        <w:t xml:space="preserve">五、公告期限</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自本公告发布之日起5个工作日。</w:t>
      </w:r>
      <w:r/>
    </w:p>
    <w:p>
      <w:pPr>
        <w:pStyle w:val="997"/>
        <w:spacing w:before="0" w:after="0" w:line="360" w:lineRule="auto"/>
        <w:rPr>
          <w:rFonts w:ascii="宋体;SimSun" w:hAnsi="宋体;SimSun" w:eastAsia="宋体;SimSun" w:cs="宋体;SimSun"/>
          <w:bCs w:val="0"/>
          <w:color w:val="auto"/>
          <w:szCs w:val="22"/>
          <w:highlight w:val="none"/>
        </w:rPr>
      </w:pPr>
      <w:r>
        <w:rPr>
          <w:rFonts w:ascii="宋体;SimSun" w:hAnsi="宋体;SimSun" w:eastAsia="宋体;SimSun" w:cs="宋体;SimSun"/>
          <w:bCs w:val="0"/>
          <w:color w:val="auto"/>
          <w:szCs w:val="22"/>
          <w:highlight w:val="none"/>
        </w:rPr>
        <w:t xml:space="preserve">六、其他补充事宜</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1.本次招标不收取投标保证金。</w:t>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2.本招标文件中标注★的款项为实质性要求和条件，投标人须逐条做出满足实质性要求和条件的响应，否则将按无效响应处理。</w:t>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http://www.ccgp-jiangsu.gov.cn/jiangsu/zlxz/ee/ee3a4bc5a3454aa2b0d9312230633ce9.html</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97"/>
        <w:spacing w:before="0" w:after="0" w:line="360" w:lineRule="auto"/>
        <w:rPr>
          <w:rFonts w:ascii="宋体;SimSun" w:hAnsi="宋体;SimSun" w:eastAsia="宋体;SimSun" w:cs="宋体;SimSun"/>
          <w:bCs w:val="0"/>
          <w:color w:val="auto"/>
          <w:szCs w:val="22"/>
          <w:highlight w:val="none"/>
        </w:rPr>
      </w:pPr>
      <w:r>
        <w:rPr>
          <w:rFonts w:ascii="宋体;SimSun" w:hAnsi="宋体;SimSun" w:eastAsia="宋体;SimSun" w:cs="宋体;SimSun"/>
          <w:bCs w:val="0"/>
          <w:color w:val="auto"/>
          <w:szCs w:val="22"/>
          <w:highlight w:val="none"/>
        </w:rPr>
        <w:t xml:space="preserve">七、对本次招标提出询问，请按以下方式联系</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1.采购人信息</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名 称：江苏连云经济开发区管理委员会</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联系人：徐先生</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联系方式：13912179291</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2.采购代理机构信息</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名 称：江苏万达工程造价事务所有限公司</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地 址：连云港市海州区朝阳东路凤凰国际大厦19楼</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联系方式： 刘工 15061306882</w:t>
      </w:r>
      <w:r/>
    </w:p>
    <w:p>
      <w:pPr>
        <w:pStyle w:val="997"/>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八、电子招投标说明</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1.本项目采用电子招标投标，请投标人严格按照招标文件的规定编制、提交投标文件，否则所造成的一切不利后果由投标人自行承担。</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2.投标人应当通过“苏采云”系统提交数据电文形式的投标文件（即电子投标）。</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特别说明：本项目采用线上投标，即投标人投标文件需通过“苏采云”系统提交，未提供线上投标文件的，投标无效。</w:t>
      </w:r>
      <w:r/>
    </w:p>
    <w:p>
      <w:pPr>
        <w:ind w:firstLine="480"/>
        <w:jc w:val="left"/>
        <w:spacing w:line="360" w:lineRule="auto"/>
        <w:rPr>
          <w:color w:val="auto"/>
          <w:highlight w:val="none"/>
        </w:rPr>
      </w:pPr>
      <w:r>
        <w:rPr>
          <w:color w:val="auto"/>
          <w:highlight w:val="none"/>
        </w:rPr>
        <w:t xml:space="preserve">3.电子投标文件应由其法定代表人或法定代表人授权代表在规定的网上投标时间内，凭CA证书登录“苏采云”系统在线编制投标文件（电子数据），并在投标文件递交截止时间之前上传投标文件。</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投标人应在达到开标时间后，使用CA数字证书解密各自投标文件。</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所有投标人解密（或解密时间）结束后，“苏采云”系统生成开标记录并向社会公众公布，但依法应当保密的除外。</w:t>
      </w:r>
      <w:r>
        <w:rPr>
          <w:color w:val="auto"/>
          <w:highlight w:val="none"/>
        </w:rPr>
        <w:br w:type="page" w:clear="all"/>
      </w:r>
      <w:r/>
    </w:p>
    <w:p>
      <w:pPr>
        <w:pStyle w:val="996"/>
        <w:jc w:val="center"/>
        <w:keepLines w:val="0"/>
        <w:keepNext w:val="0"/>
        <w:spacing w:after="0" w:line="360" w:lineRule="auto"/>
        <w:rPr>
          <w:rFonts w:ascii="宋体;SimSun" w:hAnsi="宋体;SimSun" w:eastAsia="宋体;SimSun" w:cs="宋体;SimSun"/>
          <w:b w:val="0"/>
          <w:color w:val="auto"/>
          <w:highlight w:val="none"/>
        </w:rPr>
      </w:pPr>
      <w:r/>
      <w:bookmarkStart w:id="1" w:name="__RefHeading___Toc162361611"/>
      <w:r/>
      <w:bookmarkEnd w:id="1"/>
      <w:r>
        <w:rPr>
          <w:rFonts w:ascii="宋体;SimSun" w:hAnsi="宋体;SimSun" w:eastAsia="宋体;SimSun" w:cs="宋体;SimSun"/>
          <w:b w:val="0"/>
          <w:color w:val="auto"/>
          <w:highlight w:val="none"/>
        </w:rPr>
        <w:t xml:space="preserve">第二章 投标人须知</w:t>
      </w:r>
      <w:r/>
    </w:p>
    <w:p>
      <w:pPr>
        <w:pStyle w:val="997"/>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一、总则</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1、招标方式</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1.1 本次招标采取公开招标方式，本招标文件仅适用于招标公告中所述项目。</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2、合格的投标人</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2.1 满足招标公告中供应商的资格要求的规定。</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2.3 满足本招标文件全部实质性要求和条件的规定。</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2.4 符合上述条件的投标人应承担投标及履约过程应承担的全部责任与义务。</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3、适用法律</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3.1 本次招标及由此产生的合同受中华人民共和国有关的法律法规制约和保护。</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4、投标费用</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4.1 投标人应自行承担所有与参加投标有关的费用，无论投标过程中的做法和结果如何，江苏万达工程造价事务所有限公司（以下简称代理机构）在任何情况下均无义务和责任承担这些费用。</w:t>
      </w:r>
      <w:r/>
    </w:p>
    <w:p>
      <w:pPr>
        <w:ind w:firstLine="480"/>
        <w:spacing w:line="500" w:lineRule="exact"/>
        <w:rPr>
          <w:color w:val="auto"/>
          <w:highlight w:val="none"/>
        </w:rPr>
      </w:pPr>
      <w:r>
        <w:rPr>
          <w:color w:val="auto"/>
          <w:highlight w:val="none"/>
        </w:rPr>
        <w:t xml:space="preserve">4.2 招标代理费按11万元计取。由中标人支付，投标人在报价时应综合考虑以上相关费用，但不得单列。相关费用必须在中标公示后中标通知书发出前由中标人一次性付清。</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5、招标文件的约束力</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5.1 投标人一旦参加本项目采购活动，即被认为接受了本招标文件的规定和约束。</w:t>
      </w:r>
      <w:r/>
    </w:p>
    <w:p>
      <w:pPr>
        <w:pStyle w:val="997"/>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二、招标文件</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6、招标文件构成</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6.1 招标文件由以下部分组成：</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（1）投标邀请</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（2）投标人须知</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（3）合同文本</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（4）采购需求</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（5）评标方法与评标标准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（6）投标文件格式</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请仔细检查招标文件是否齐全，如有缺漏请立即与代理机构联系解决。</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7、招标文件的澄清</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7.1 任何要求对招标文件进行澄清的投标人，应在投标截止期十日前按招标公告中的通讯地址，以书面形式通知采购人或者代理机构。</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8、招标文件的修改</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8.1 在投标截止时间前，代理机构可以对招标文件进行修改。</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8.2 代理机构有权按照法定的要求推迟投标截止日期和开标日期。</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8.3 招标文件的修改将在江苏政府采购网公布，补充文件将作为招标文件的组成部分，并对投标人具有约束力。</w:t>
      </w:r>
      <w:r/>
    </w:p>
    <w:p>
      <w:pPr>
        <w:pStyle w:val="997"/>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三、投标文件的编制</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9、投标文件编写注意事项</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10、投标文件的语言及度量衡单位</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10.2 除技术性能另有规定外，投标文件所使用的度量衡单位，均须采用国家法定计量单位。</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11、投标文件构成</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11.3特别提醒投标人，混乱的编排导致投标文件被误读或评标委员会（以下简称评委会）查找不到有效文件是投标人的风险。</w:t>
      </w:r>
      <w:r/>
    </w:p>
    <w:p>
      <w:pPr>
        <w:ind w:firstLine="482"/>
        <w:spacing w:line="500" w:lineRule="exact"/>
        <w:rPr>
          <w:color w:val="auto"/>
          <w:highlight w:val="none"/>
        </w:rPr>
      </w:pPr>
      <w:r>
        <w:rPr>
          <w:rFonts w:ascii="宋体;SimSun" w:hAnsi="宋体;SimSun" w:eastAsia="宋体;SimSun" w:cs="宋体;SimSun"/>
          <w:b/>
          <w:color w:val="auto"/>
          <w:sz w:val="24"/>
          <w:highlight w:val="none"/>
        </w:rPr>
        <w:t xml:space="preserve">12、证明投标人及投标标的符合招标文件规定的文件</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12.1投标人应按照招标文件要求提交证明文件，证明其及投标标的符合招标文件规定。</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12.2招标文件对证明文件无明确形式要求的，证明文件可以以文字资料、图纸和数据等形式提交。</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13、投标分项报价表</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13.1投标人应根据投标报价要求在投标分项报价表中列明各项投标单价、总价等，未全部列示的作无效响应处理。</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14、技术要求响应及偏离表、商务要求响应及偏离表</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14.2 投标人可在投标文件中提供认为需要的其他技术文件或说明。</w:t>
      </w:r>
      <w:r/>
    </w:p>
    <w:p>
      <w:pPr>
        <w:ind w:firstLine="482"/>
        <w:spacing w:line="500" w:lineRule="exact"/>
        <w:rPr>
          <w:color w:val="auto"/>
          <w:highlight w:val="none"/>
        </w:rPr>
      </w:pPr>
      <w:r>
        <w:rPr>
          <w:rFonts w:ascii="宋体;SimSun" w:hAnsi="宋体;SimSun" w:eastAsia="宋体;SimSun" w:cs="宋体;SimSun"/>
          <w:b/>
          <w:color w:val="auto"/>
          <w:sz w:val="24"/>
          <w:highlight w:val="none"/>
        </w:rPr>
        <w:t xml:space="preserve">15、服务承诺、培训计划、人员安排及其他</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15.2 投标人需根据招标文件要求提供培训计划、人员安排等。</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15.3 投标人需根据招标文件要求提供所投标的的主要组成部分、功能设计、实现思路及关键技术等。</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16、投标函和开标一览表</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16.1 投标人应按照招标文件中提供的格式完整、正确填写投标函、开标一览表。</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17、投标有效期</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997"/>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四、投标文件的递交</w:t>
      </w:r>
      <w:r/>
    </w:p>
    <w:p>
      <w:pPr>
        <w:ind w:firstLine="482"/>
        <w:spacing w:line="500" w:lineRule="exact"/>
        <w:rPr>
          <w:color w:val="auto"/>
          <w:highlight w:val="none"/>
        </w:rPr>
      </w:pPr>
      <w:r>
        <w:rPr>
          <w:rFonts w:ascii="宋体;SimSun" w:hAnsi="宋体;SimSun" w:eastAsia="宋体;SimSun" w:cs="宋体;SimSun"/>
          <w:b/>
          <w:color w:val="auto"/>
          <w:sz w:val="24"/>
          <w:highlight w:val="none"/>
        </w:rPr>
        <w:t xml:space="preserve">18、电子投标文件的递交</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18.1 投标人应当按照《操作手册》规定，在投标截止时间前制作并递交（上传）电子投标文件。</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19、投标截止时间</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19.1 投标人递交（上传）电子投标文件的时间不得迟于招标公告中规定的投标截止时间。</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投标人应充分考虑到计算机硬件、软件及网络环境等风险因素，如因投标人自身原因造成电子投标文件递交（上传）不成功的按照本招标文件第二章第27.1条规定作无效投标处理。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20、投标文件的拒收</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20.1</w:t>
      </w:r>
      <w:r>
        <w:rPr>
          <w:rFonts w:ascii="宋体;SimSun" w:hAnsi="宋体;SimSun" w:eastAsia="宋体;SimSun" w:cs="宋体;SimSun"/>
          <w:color w:val="auto"/>
          <w:sz w:val="24"/>
          <w:highlight w:val="none"/>
        </w:rPr>
        <w:t xml:space="preserve">采购代理机构</w:t>
      </w:r>
      <w:r>
        <w:rPr>
          <w:rFonts w:ascii="宋体;SimSun" w:hAnsi="宋体;SimSun" w:eastAsia="宋体;SimSun" w:cs="宋体;SimSun"/>
          <w:color w:val="auto"/>
          <w:sz w:val="24"/>
          <w:szCs w:val="24"/>
          <w:highlight w:val="none"/>
        </w:rPr>
        <w:t xml:space="preserve">拒绝接收在其规定的投标截止时间后递交（上传）的任何投标文件。</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21、投标文件的撤回和修改</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21.1 投标文件的撤回</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21.1.1 投标人可在投标截止时间前，撤回其电子投标文件，具体操作方法见《操作手册》。</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21.1.2 投标人撤回电子投标文件的，则认为其不再参与本项目投标活动。</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21.2 投标文件的修改</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21.2.1 投标人可在投标截止时间前，对其电子投标文件进行修改，具体操作方法见《操作手册》。</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21.2.2 在投标截止时间之后，投标人不得对其电子投标文件做任何修改。</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21.3 在投标截止时间至招标文件中规定的投标有效期满之间的这段时间内，投标人不得撤回其投标。</w:t>
      </w:r>
      <w:r/>
    </w:p>
    <w:p>
      <w:pPr>
        <w:pStyle w:val="997"/>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五、开标与评标</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22、开标</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22.1</w:t>
      </w:r>
      <w:r>
        <w:rPr>
          <w:rFonts w:ascii="宋体;SimSun" w:hAnsi="宋体;SimSun" w:eastAsia="宋体;SimSun" w:cs="宋体;SimSun"/>
          <w:color w:val="auto"/>
          <w:sz w:val="24"/>
          <w:highlight w:val="none"/>
        </w:rPr>
        <w:t xml:space="preserve">采购代理机构</w:t>
      </w:r>
      <w:r>
        <w:rPr>
          <w:rFonts w:ascii="宋体;SimSun" w:hAnsi="宋体;SimSun" w:eastAsia="宋体;SimSun" w:cs="宋体;SimSun"/>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22.2 开标仪式由</w:t>
      </w:r>
      <w:r>
        <w:rPr>
          <w:rFonts w:ascii="宋体;SimSun" w:hAnsi="宋体;SimSun" w:eastAsia="宋体;SimSun" w:cs="宋体;SimSun"/>
          <w:color w:val="auto"/>
          <w:sz w:val="24"/>
          <w:highlight w:val="none"/>
        </w:rPr>
        <w:t xml:space="preserve">采购代理机构</w:t>
      </w:r>
      <w:r>
        <w:rPr>
          <w:rFonts w:ascii="宋体;SimSun" w:hAnsi="宋体;SimSun" w:eastAsia="宋体;SimSun" w:cs="宋体;SimSun"/>
          <w:color w:val="auto"/>
          <w:sz w:val="24"/>
          <w:szCs w:val="24"/>
          <w:highlight w:val="none"/>
        </w:rPr>
        <w:t xml:space="preserve">组织。“苏采云”系统将自动对项目进行开标，并宣布各投标人名称和投标价格。</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22.3 投标人在开标过程中涉及到的投标文件解密、开标结果确认等工作，应当按照《操作手册》规定执行。</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22.5 投标人未参加开标的，视同认可开标结果。</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23、评标委员会</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23.1 开标后，</w:t>
      </w:r>
      <w:r>
        <w:rPr>
          <w:rFonts w:ascii="宋体;SimSun" w:hAnsi="宋体;SimSun" w:eastAsia="宋体;SimSun" w:cs="宋体;SimSun"/>
          <w:color w:val="auto"/>
          <w:sz w:val="24"/>
          <w:highlight w:val="none"/>
        </w:rPr>
        <w:t xml:space="preserve">采购代理机构</w:t>
      </w:r>
      <w:r>
        <w:rPr>
          <w:rFonts w:ascii="宋体;SimSun" w:hAnsi="宋体;SimSun" w:eastAsia="宋体;SimSun" w:cs="宋体;SimSun"/>
          <w:color w:val="auto"/>
          <w:sz w:val="24"/>
          <w:szCs w:val="24"/>
          <w:highlight w:val="none"/>
        </w:rPr>
        <w:t xml:space="preserve">将立即组织评委会进行评标。</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23.3 评委会按照采购文件规定的评审程序、评审方法和评审标准进行独立评审并确定中标候选人。</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24、评标过程的保密与公正</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24.1 凡是与审查、澄清、评价和比较投标的有关资料以及授标建议等，采购人、评审专家、</w:t>
      </w:r>
      <w:r>
        <w:rPr>
          <w:rFonts w:ascii="宋体;SimSun" w:hAnsi="宋体;SimSun" w:eastAsia="宋体;SimSun" w:cs="宋体;SimSun"/>
          <w:color w:val="auto"/>
          <w:sz w:val="24"/>
          <w:highlight w:val="none"/>
        </w:rPr>
        <w:t xml:space="preserve">采购代理机构</w:t>
      </w:r>
      <w:r>
        <w:rPr>
          <w:rFonts w:ascii="宋体;SimSun" w:hAnsi="宋体;SimSun" w:eastAsia="宋体;SimSun" w:cs="宋体;SimSun"/>
          <w:color w:val="auto"/>
          <w:sz w:val="24"/>
          <w:szCs w:val="24"/>
          <w:highlight w:val="none"/>
        </w:rPr>
        <w:t xml:space="preserve">均不得向投标人或与评标无关的其他人员透露。</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24.2 在评标过程中，投标人不得以任何行为影响评标过程，否则其投标文件将被作为无效投标文件。</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24.3</w:t>
      </w:r>
      <w:r>
        <w:rPr>
          <w:rFonts w:ascii="宋体;SimSun" w:hAnsi="宋体;SimSun" w:eastAsia="宋体;SimSun" w:cs="宋体;SimSun"/>
          <w:color w:val="auto"/>
          <w:sz w:val="24"/>
          <w:highlight w:val="none"/>
        </w:rPr>
        <w:t xml:space="preserve">采购代理机构</w:t>
      </w:r>
      <w:r>
        <w:rPr>
          <w:rFonts w:ascii="宋体;SimSun" w:hAnsi="宋体;SimSun" w:eastAsia="宋体;SimSun" w:cs="宋体;SimSun"/>
          <w:color w:val="auto"/>
          <w:sz w:val="24"/>
          <w:szCs w:val="24"/>
          <w:highlight w:val="none"/>
        </w:rPr>
        <w:t xml:space="preserve">和评委会不向未中标的投标人解释未中标原因，也不公布评标过程中的相关细节。</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25、投标文件的澄清</w:t>
      </w:r>
      <w:r/>
    </w:p>
    <w:p>
      <w:pPr>
        <w:ind w:firstLine="480"/>
        <w:spacing w:line="500" w:lineRule="exact"/>
        <w:rPr>
          <w:color w:val="auto"/>
          <w:highlight w:val="none"/>
        </w:rPr>
      </w:pPr>
      <w:r>
        <w:rPr>
          <w:color w:val="auto"/>
          <w:highlight w:val="none"/>
        </w:rPr>
        <w:t xml:space="preserve">25.1 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评委会并非对每个投标人都做澄清、说明或者补正要求。</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25.3 接到评委会澄清、说明或者补正要求的投标人如未按规定响应，其风险由投标人自行承担。</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26、对投标文件的初审</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26.1 投标文件初审分为资格审查和符合性审查。</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本招标文件中标注有★为实质性要求和条件，投标人必须逐条做出满足实质性要求和条件的响应，否则将按无效响应处理。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26.1.3 未通过资格审查或符合性审查的投标人，将在“苏采云”系统中告知未通过资格审查或符合性审查的原因，评审结束后，将不再告知未通过资格审查或符合性审查的原因。</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（2）大写金额和小写金额不一致的，以大写金额为准。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（3）单价金额小数点或者百分比有明显错位的，以开标一览表的总价为准，并修改单价。</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（4）总价金额与按单价汇总金额不一致的，以单价金额计算结果为准。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同时出现两种以上错误的，按照前款规定的顺序修正。</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color w:val="auto"/>
          <w:highlight w:val="none"/>
        </w:rPr>
      </w:pPr>
      <w:r>
        <w:rPr>
          <w:color w:val="auto"/>
          <w:highlight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招标文件未规定的采取随机抽取方式确定，其他投标无效。</w:t>
      </w:r>
      <w:r/>
    </w:p>
    <w:p>
      <w:pPr>
        <w:ind w:firstLine="480"/>
        <w:spacing w:line="500" w:lineRule="exact"/>
        <w:rPr>
          <w:color w:val="auto"/>
          <w:highlight w:val="none"/>
        </w:rPr>
      </w:pPr>
      <w:r>
        <w:rPr>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26.7 投标人在开、评标全过程中应保持通讯畅通，及时登录“苏采云”系统查阅、答复相关信息，并安排专人与代理机构及评委会联系。</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27、无效投标条款和废标条款</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27.1 </w:t>
      </w:r>
      <w:r>
        <w:rPr>
          <w:rFonts w:ascii="宋体;SimSun" w:hAnsi="宋体;SimSun" w:eastAsia="宋体;SimSun" w:cs="宋体;SimSun"/>
          <w:b/>
          <w:bCs/>
          <w:color w:val="auto"/>
          <w:sz w:val="24"/>
          <w:szCs w:val="24"/>
          <w:highlight w:val="none"/>
        </w:rPr>
        <w:t xml:space="preserve">无效投标条款</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（1）投标人未按照招标文件要求递交（上传）电子投标文件的。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（2）投标人在“苏采云”系统规定的时间内未成功解密电子投标文件的。</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（3）投标人不具备招标文件中规定的资格要求的。</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（5）投标人提交两个（含两个）以上不同的投标报价的。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（6）投标人的报价超过了采购预算或者最高限价的。</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（8）不符合招标文件中规定的实质性要求和条件的（本招标文件中标注★的款项为实质性要求和条件，投标人须逐条做出满足实质性要求和条件的响应，否则将按无效响应处理）。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（10）投标人未通过符合性审查的。</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（11）投标文件含有采购人不能接受的附加条件的。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（12）投标文件未按照招标文件要求加盖公章（CA电子公章）的。</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（13）</w:t>
      </w:r>
      <w:r>
        <w:rPr>
          <w:rFonts w:ascii="宋体;SimSun" w:hAnsi="宋体;SimSun" w:eastAsia="宋体;SimSun" w:cs="宋体;SimSun"/>
          <w:color w:val="auto"/>
          <w:sz w:val="24"/>
          <w:szCs w:val="24"/>
          <w:highlight w:val="none"/>
        </w:rPr>
        <w:t xml:space="preserve">启动异常低价投标（响应）审查的情形和具体要求，包括：</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（一）评审过程中出现下列情形之一的，评审委员会应当启动异常低价投标（响应）审查程序：</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1.投标（响应）报价低于全部通过符合性审查供应商投标（响应）报价平均值65%的，即投标（响应）报价&lt;全部通过符合性审查供应商投标（响应）报价平均值×65%；</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2.投标（响应）报价低于通过符合性审查的次低报价供应商投标（响应）报价65%的，即投标（响应）报价&lt;通过符合性审查的次低报价供应商投标（响应）报价×65%；</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3.投标（响应）报价低于采购项目最高限价65%的，即投标（响应）报价&lt;采购项目最高限价×65%；</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4.评审委员会基于专业判断，认为供应商报价过低，有可能影响产品质量或者不能诚信履约的其他情形。</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二）评审委员会启动异常低价投标（响应）审查后，属于前述第1项至第4项情形的，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（14）其他法律、法规及本招标文件规定的属于无效投标的情形。</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27.2 有下列情形之一的，视为投标人串通投标，投标无效：</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（1）不同投标人的投标文件由同一单位或者个人编制。</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（2）不同投标人委托同一单位或者个人办理投标事宜。</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（3）不同投标人的投标文件载明的项目管理成员或者联系人员为同一人。</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（4）不同投标人的投标文件异常一致或者投标报价呈规律性差异。</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27.3 </w:t>
      </w:r>
      <w:r>
        <w:rPr>
          <w:rFonts w:ascii="宋体;SimSun" w:hAnsi="宋体;SimSun" w:eastAsia="宋体;SimSun" w:cs="宋体;SimSun"/>
          <w:b/>
          <w:bCs/>
          <w:color w:val="auto"/>
          <w:sz w:val="24"/>
          <w:szCs w:val="24"/>
          <w:highlight w:val="none"/>
        </w:rPr>
        <w:t xml:space="preserve">废标条款</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（1）因“苏采云”系统故障原因造成开标不成功的。</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（2）评委会认定招标文件存在歧义、重大缺陷导致评审工作无法进行的。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（3）符合专业条件的供应商或者对招标文件作实质响应的供应商不足三家的。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（4）出现影响采购公正的违法、违规行为的。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（5）因重大变故，采购任务取消的。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997"/>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六、定标</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28、确定中标单位</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28.1 中标候选人的选取原则和数量详见招标文件第五章规定。 </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28.2 采购人应根据评委会推荐的中标候选人确定中标人。</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28.3 </w:t>
      </w:r>
      <w:r>
        <w:rPr>
          <w:rFonts w:ascii="宋体;SimSun" w:hAnsi="宋体;SimSun" w:eastAsia="宋体;SimSun" w:cs="宋体;SimSun"/>
          <w:color w:val="auto"/>
          <w:sz w:val="24"/>
          <w:highlight w:val="none"/>
        </w:rPr>
        <w:t xml:space="preserve">采购代理机构</w:t>
      </w:r>
      <w:r>
        <w:rPr>
          <w:rFonts w:ascii="宋体;SimSun" w:hAnsi="宋体;SimSun" w:eastAsia="宋体;SimSun" w:cs="宋体;SimSun"/>
          <w:color w:val="auto"/>
          <w:sz w:val="24"/>
          <w:szCs w:val="24"/>
          <w:highlight w:val="none"/>
        </w:rPr>
        <w:t xml:space="preserve">将在江苏政府采购网发布中标公告，公告期限为1个工作日。</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28.4 若有充分证据证明，中标人存在下列情况之一的，一经查实，将被取消中标资格：</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（1）提供虚假材料谋取中标、成交的。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（2）采取不正当手段诋毁、排挤其他供应商的。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（3）与采购人、其他供应商或者采购代理机构恶意串通的。</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（4）向采购人、</w:t>
      </w:r>
      <w:r>
        <w:rPr>
          <w:rFonts w:ascii="宋体;SimSun" w:hAnsi="宋体;SimSun" w:eastAsia="宋体;SimSun" w:cs="宋体;SimSun"/>
          <w:color w:val="auto"/>
          <w:sz w:val="24"/>
          <w:highlight w:val="none"/>
        </w:rPr>
        <w:t xml:space="preserve">采购代理机构</w:t>
      </w:r>
      <w:r>
        <w:rPr>
          <w:rFonts w:ascii="宋体;SimSun" w:hAnsi="宋体;SimSun" w:eastAsia="宋体;SimSun" w:cs="宋体;SimSun"/>
          <w:color w:val="auto"/>
          <w:sz w:val="24"/>
          <w:szCs w:val="24"/>
          <w:highlight w:val="none"/>
        </w:rPr>
        <w:t xml:space="preserve">行贿或者提供其他不正当利益的。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（5）在招标采购过程中与采购人进行协商谈判的。</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（6）属于本文件规定的无效条件，但在评标过程中又未被评委会发现的。</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29、中标通知书</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29.1 中标结果确定后，</w:t>
      </w:r>
      <w:r>
        <w:rPr>
          <w:rFonts w:ascii="宋体;SimSun" w:hAnsi="宋体;SimSun" w:eastAsia="宋体;SimSun" w:cs="宋体;SimSun"/>
          <w:color w:val="auto"/>
          <w:sz w:val="24"/>
          <w:highlight w:val="none"/>
        </w:rPr>
        <w:t xml:space="preserve">采购代理机构</w:t>
      </w:r>
      <w:r>
        <w:rPr>
          <w:rFonts w:ascii="宋体;SimSun" w:hAnsi="宋体;SimSun" w:eastAsia="宋体;SimSun" w:cs="宋体;SimSun"/>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29.3 中标人在中标后七个工作日内，需向采购人和</w:t>
      </w:r>
      <w:r>
        <w:rPr>
          <w:rFonts w:ascii="宋体;SimSun" w:hAnsi="宋体;SimSun" w:eastAsia="宋体;SimSun" w:cs="宋体;SimSun"/>
          <w:color w:val="auto"/>
          <w:sz w:val="24"/>
          <w:highlight w:val="none"/>
        </w:rPr>
        <w:t xml:space="preserve">采购代理机构</w:t>
      </w:r>
      <w:r>
        <w:rPr>
          <w:rFonts w:ascii="宋体;SimSun" w:hAnsi="宋体;SimSun" w:eastAsia="宋体;SimSun" w:cs="宋体;SimSun"/>
          <w:color w:val="auto"/>
          <w:sz w:val="24"/>
          <w:szCs w:val="24"/>
          <w:highlight w:val="none"/>
        </w:rPr>
        <w:t xml:space="preserve">各提供一份与电子投标文件一致的纸质打印胶装投标文件，封面、骑缝需加盖公章。</w:t>
      </w:r>
      <w:r/>
    </w:p>
    <w:p>
      <w:pPr>
        <w:pStyle w:val="997"/>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七、授予合同</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30、履约保证金</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30.1 履约保证金的数额为合同金额的5%。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30.4 逾期退还履约保证金的采购人承担违约责任，按照中国人民银行同期贷款基准利率向中标人支付超期资金占用费。</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31、签订合同</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31.2 招标文件、中标人的投标文件及招标过程中有关澄清、承诺等文件均应作为合同附件。</w:t>
      </w:r>
      <w:r/>
    </w:p>
    <w:p>
      <w:pPr>
        <w:ind w:firstLine="480"/>
        <w:jc w:val="left"/>
        <w:spacing w:line="500" w:lineRule="exact"/>
        <w:rPr>
          <w:color w:val="auto"/>
          <w:highlight w:val="none"/>
        </w:rPr>
      </w:pPr>
      <w:r>
        <w:rPr>
          <w:rFonts w:ascii="宋体;SimSun" w:hAnsi="宋体;SimSun" w:eastAsia="宋体;SimSun" w:cs="宋体;SimSun"/>
          <w:b/>
          <w:bCs/>
          <w:color w:val="auto"/>
          <w:sz w:val="24"/>
          <w:szCs w:val="24"/>
          <w:highlight w:val="none"/>
        </w:rPr>
        <w:t xml:space="preserve">★</w:t>
      </w:r>
      <w:r>
        <w:rPr>
          <w:rFonts w:ascii="宋体;SimSun" w:hAnsi="宋体;SimSun" w:eastAsia="宋体;SimSun" w:cs="宋体;SimSun"/>
          <w:color w:val="auto"/>
          <w:sz w:val="24"/>
          <w:szCs w:val="24"/>
          <w:highlight w:val="none"/>
        </w:rPr>
        <w:t xml:space="preserve">31.3 签订合同后，</w:t>
      </w:r>
      <w:r>
        <w:rPr>
          <w:rFonts w:ascii="宋体;SimSun" w:hAnsi="宋体;SimSun" w:eastAsia="宋体;SimSun" w:cs="宋体;SimSun"/>
          <w:b/>
          <w:bCs/>
          <w:color w:val="auto"/>
          <w:sz w:val="24"/>
          <w:szCs w:val="24"/>
          <w:highlight w:val="none"/>
        </w:rPr>
        <w:t xml:space="preserve">中标人不得将合同标的转包</w:t>
      </w:r>
      <w:r>
        <w:rPr>
          <w:rFonts w:ascii="宋体;SimSun" w:hAnsi="宋体;SimSun" w:eastAsia="宋体;SimSun" w:cs="宋体;SimSun"/>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32、服务（包含与服务相关的货物）的追加</w:t>
      </w:r>
      <w:r/>
    </w:p>
    <w:p>
      <w:pPr>
        <w:ind w:firstLine="480"/>
        <w:spacing w:line="500" w:lineRule="exact"/>
        <w:rPr>
          <w:color w:val="auto"/>
          <w:highlight w:val="none"/>
        </w:rPr>
      </w:pPr>
      <w:r>
        <w:rPr>
          <w:color w:val="auto"/>
          <w:highlight w:val="none"/>
        </w:rPr>
        <w:t xml:space="preserve">32.1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33、政府采购履约资金扶持政策</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33.1 中标人可凭政府采购合同办理融资贷款，详情请见江苏政府采购网“政采贷”专栏。</w:t>
      </w:r>
      <w:r/>
    </w:p>
    <w:p>
      <w:pPr>
        <w:pStyle w:val="997"/>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八、询问与质疑</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34、询问</w:t>
      </w:r>
      <w:r/>
    </w:p>
    <w:p>
      <w:pPr>
        <w:ind w:firstLine="480"/>
        <w:spacing w:line="500" w:lineRule="exact"/>
        <w:rPr>
          <w:color w:val="auto"/>
          <w:highlight w:val="none"/>
        </w:rPr>
      </w:pPr>
      <w:r>
        <w:rPr>
          <w:color w:val="auto"/>
          <w:highlight w:val="none"/>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供应商向采购人提出。</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35、质疑提出</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35.1 提出质疑的供应商应当是参与所质疑项目采购活动的供应商。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代理机构提出质疑。</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（1）供应商的姓名或者名称、地址、邮编、联系人及联系电话；</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（2）质疑项目的名称、编号；</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（3）具体、明确的质疑事项和与质疑事项相关的请求；</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（4）事实依据；</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（5）必要的法律依据；</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（6）提出质疑的日期；</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（7）必要的证明材料；</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36、质疑函的受理和答复</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36.2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36.3 对不符合质疑要求的，采购人、代理机构有权要求其补充必要的证明材料，质疑供应商未在法定的时间内提供补充必要的证明材料的，视同放弃质疑。</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36.4 以下情形的质疑不予受理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（1）内容不符合《政府采购质疑和投诉办法》第十二条规定的质疑。</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（2）超出政府采购法定期限的质疑。</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（3）以传真、电子邮件等方式递交的非原件形式的质疑。</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（4）未参加采购活动的供应商或在采购活动中自身权益未受到损害的供应商所提出的质疑。</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（5）供应商组成联合体，联合体中任何一方或多方未按要求签字（盖章）、加盖公章的质疑。</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36.5 采购人、代理机构依法受理的质疑，将按照政府采购有关规定，在法定期限内答复。</w:t>
      </w:r>
      <w:r/>
    </w:p>
    <w:p>
      <w:pPr>
        <w:ind w:firstLine="480"/>
        <w:spacing w:line="500" w:lineRule="exact"/>
        <w:rPr>
          <w:color w:val="auto"/>
          <w:highlight w:val="none"/>
        </w:rPr>
      </w:pPr>
      <w:r>
        <w:rPr>
          <w:rFonts w:ascii="宋体;SimSun" w:hAnsi="宋体;SimSun" w:eastAsia="宋体;SimSun" w:cs="宋体;SimSun"/>
          <w:color w:val="auto"/>
          <w:sz w:val="24"/>
          <w:highlight w:val="none"/>
        </w:rPr>
        <w:t xml:space="preserve">36.6 因质疑供应商所留联系方式无效，或者无故不接收，导致质疑答复结果无法送达的，视为质疑供应商主动放弃知晓质疑答复结果的权利。</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37、质疑处理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37.1 质疑供应商未按照法定程序进行质疑投诉的，视为一般失信行为。</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37.2 质疑供应商不配合或者采用不正当手段干扰政府采购质疑、投诉处理工作的，视为一般失信行为。</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37.3 质疑供应商投诉受理期间，就同一事项多头举报，干扰财政部门投诉处理的，视为一般失信行为。</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37.4 质疑供应商在全国范围12个月内三次以上质疑查无实据的，视为一般失信行为。</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37.6 质疑供应商在全国范围12个月内三次以上投诉查无实据的，视为严重失信行为。</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37.7 未尽事宜，依照有关法律、法规执行。</w:t>
      </w:r>
      <w:r/>
    </w:p>
    <w:p>
      <w:pPr>
        <w:pStyle w:val="997"/>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 xml:space="preserve">九、政府采购政策功能</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38、促进中小企业发展</w:t>
      </w:r>
      <w:r/>
    </w:p>
    <w:p>
      <w:pPr>
        <w:ind w:firstLine="482"/>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38.1 对于小型企业、微型企业、监狱企业、残疾人福利性单位报价以扣除优惠比率后的价格参与评审，但不作为中标价和合同签约价。中标价和合同签约价仍以其最终报价为准。</w:t>
      </w:r>
      <w:r/>
    </w:p>
    <w:p>
      <w:pPr>
        <w:ind w:firstLine="482"/>
        <w:spacing w:line="500" w:lineRule="exact"/>
        <w:rPr>
          <w:color w:val="auto"/>
          <w:highlight w:val="none"/>
        </w:rPr>
      </w:pPr>
      <w:r>
        <w:rPr>
          <w:color w:val="auto"/>
          <w:highlight w:val="none"/>
        </w:rPr>
        <w:t xml:space="preserve">38.2 价格给予扣除标准：</w:t>
      </w:r>
      <w:r/>
    </w:p>
    <w:p>
      <w:pPr>
        <w:ind w:firstLine="482"/>
        <w:spacing w:line="500" w:lineRule="exact"/>
        <w:rPr>
          <w:color w:val="auto"/>
          <w:highlight w:val="none"/>
        </w:rPr>
      </w:pPr>
      <w:r>
        <w:rPr>
          <w:rFonts w:ascii="宋体;SimSun" w:hAnsi="宋体;SimSun" w:eastAsia="宋体;SimSun" w:cs="宋体;SimSun"/>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ascii="宋体;SimSun" w:hAnsi="宋体;SimSun" w:eastAsia="宋体;SimSun" w:cs="宋体;SimSun"/>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spacing w:line="500" w:lineRule="exact"/>
        <w:rPr>
          <w:color w:val="auto"/>
          <w:highlight w:val="none"/>
        </w:rPr>
      </w:pPr>
      <w:r>
        <w:rPr>
          <w:rFonts w:ascii="宋体;SimSun" w:hAnsi="宋体;SimSun" w:eastAsia="宋体;SimSun" w:cs="宋体;SimSun"/>
          <w:color w:val="auto"/>
          <w:sz w:val="24"/>
          <w:szCs w:val="24"/>
          <w:highlight w:val="none"/>
        </w:rPr>
        <w:t xml:space="preserve">本项目执行财政部、工业和信息化部关于</w:t>
      </w:r>
      <w:r>
        <w:rPr>
          <w:rFonts w:ascii="宋体;SimSun" w:hAnsi="宋体;SimSun" w:eastAsia="宋体;SimSun" w:cs="宋体;SimSun"/>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2"/>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2"/>
        <w:spacing w:line="500" w:lineRule="exact"/>
        <w:rPr>
          <w:color w:val="auto"/>
          <w:highlight w:val="none"/>
        </w:rPr>
      </w:pPr>
      <w:r>
        <w:rPr>
          <w:color w:val="auto"/>
          <w:highlight w:val="none"/>
        </w:rPr>
        <w:t xml:space="preserve">38.3 参加政府采购活动的供应商享受价格评审优惠的应当提供的材料：</w:t>
      </w:r>
      <w:r>
        <w:rPr>
          <w:rFonts w:eastAsia="Calibri" w:cs="Calibri"/>
          <w:color w:val="auto"/>
          <w:highlight w:val="none"/>
        </w:rPr>
        <w:t xml:space="preserve"> </w:t>
      </w:r>
      <w:r/>
    </w:p>
    <w:p>
      <w:pPr>
        <w:ind w:firstLine="482"/>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38.4 供应商提供的货物全部由小型企业、微型企业制造的，提供《中小企业声明函》（第六章“投标文件格式”）。</w:t>
      </w:r>
      <w:r/>
    </w:p>
    <w:p>
      <w:pPr>
        <w:ind w:firstLine="482"/>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38.5供应商为残疾人福利性单位的，符合财库〔2017〕141号文件规定条件的残疾人福利性单位视同小型、微型企业，提供《残疾人福利性单位声明函》（第六章“投标文件格式”）。</w:t>
      </w:r>
      <w:r/>
    </w:p>
    <w:p>
      <w:pPr>
        <w:ind w:firstLine="482"/>
        <w:spacing w:line="500" w:lineRule="exact"/>
        <w:rPr>
          <w:color w:val="auto"/>
          <w:highlight w:val="none"/>
        </w:rPr>
      </w:pPr>
      <w:r>
        <w:rPr>
          <w:color w:val="auto"/>
          <w:highlight w:val="none"/>
        </w:rPr>
        <w:t xml:space="preserve">38.6 供应商为监狱企业的，提供省级以上监狱管理局、戒毒管理局（含新疆生产建设兵团）出具的属于监狱企业的证明文件。</w:t>
      </w:r>
      <w:r/>
    </w:p>
    <w:p>
      <w:pPr>
        <w:ind w:firstLine="482"/>
        <w:spacing w:line="500" w:lineRule="exact"/>
        <w:rPr>
          <w:color w:val="auto"/>
          <w:highlight w:val="none"/>
        </w:rPr>
      </w:pPr>
      <w:r>
        <w:rPr>
          <w:rFonts w:ascii="宋体;SimSun" w:hAnsi="宋体;SimSun" w:eastAsia="宋体;SimSun" w:cs="宋体;SimSun"/>
          <w:color w:val="auto"/>
          <w:sz w:val="24"/>
          <w:szCs w:val="24"/>
          <w:highlight w:val="none"/>
        </w:rPr>
        <w:t xml:space="preserve">根据《财政</w:t>
      </w:r>
      <w:r>
        <w:rPr>
          <w:rFonts w:ascii="宋体;SimSun" w:hAnsi="宋体;SimSun" w:eastAsia="宋体;SimSun" w:cs="宋体;SimSun"/>
          <w:color w:val="auto"/>
          <w:sz w:val="24"/>
          <w:szCs w:val="24"/>
          <w:highlight w:val="none"/>
        </w:rPr>
        <w:t xml:space="preserve">部 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39、支持绿色发展</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40、政府采购需求标准</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40.1本项目执行《绿色数据中心政府采购需求</w:t>
      </w:r>
      <w:r>
        <w:rPr>
          <w:rFonts w:ascii="宋体;SimSun" w:hAnsi="宋体;SimSun" w:eastAsia="宋体;SimSun" w:cs="宋体;SimSun"/>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2"/>
        <w:spacing w:line="500" w:lineRule="exact"/>
        <w:rPr>
          <w:rFonts w:hint="default" w:ascii="宋体;SimSun" w:hAnsi="宋体;SimSun" w:eastAsia="宋体;SimSun" w:cs="宋体;SimSun"/>
          <w:b/>
          <w:color w:val="auto"/>
          <w:sz w:val="24"/>
          <w:highlight w:val="none"/>
          <w:lang w:val="en-US" w:eastAsia="zh-CN"/>
        </w:rPr>
      </w:pPr>
      <w:r>
        <w:rPr>
          <w:rFonts w:hint="eastAsia" w:ascii="宋体;SimSun" w:hAnsi="宋体;SimSun" w:eastAsia="宋体;SimSun" w:cs="宋体;SimSun"/>
          <w:b/>
          <w:color w:val="auto"/>
          <w:sz w:val="24"/>
          <w:highlight w:val="none"/>
          <w:lang w:val="en-US" w:eastAsia="zh-CN"/>
        </w:rPr>
        <w:t xml:space="preserve">41、政府采购中实施本国产品标准及相关政策</w:t>
      </w:r>
      <w:r/>
    </w:p>
    <w:p>
      <w:pPr>
        <w:ind w:firstLine="480"/>
        <w:spacing w:line="560" w:lineRule="exact"/>
        <w:rPr>
          <w:rFonts w:hint="eastAsia" w:ascii="宋体" w:hAnsi="宋体" w:eastAsia="宋体" w:cs="方正魏碑_GBK"/>
          <w:bCs/>
          <w:color w:val="auto"/>
          <w:sz w:val="24"/>
          <w:szCs w:val="24"/>
          <w:highlight w:val="none"/>
          <w:lang w:eastAsia="zh-CN"/>
        </w:rPr>
      </w:pPr>
      <w:r>
        <w:rPr>
          <w:rFonts w:hint="eastAsia" w:ascii="宋体" w:hAnsi="宋体" w:eastAsia="宋体" w:cs="方正魏碑_GBK"/>
          <w:bCs/>
          <w:color w:val="auto"/>
          <w:sz w:val="24"/>
          <w:szCs w:val="24"/>
          <w:highlight w:val="none"/>
          <w:lang w:val="en-US" w:eastAsia="zh-CN"/>
        </w:rPr>
        <w:t xml:space="preserve">41.</w:t>
      </w:r>
      <w:r>
        <w:rPr>
          <w:rFonts w:hint="eastAsia" w:ascii="宋体" w:hAnsi="宋体" w:eastAsia="宋体" w:cs="方正魏碑_GBK"/>
          <w:bCs/>
          <w:color w:val="auto"/>
          <w:sz w:val="24"/>
          <w:szCs w:val="24"/>
          <w:highlight w:val="none"/>
        </w:rPr>
        <w:t xml:space="preserve">1根据《国务院办公厅关于在政府采购中实施本国产品标准及相关政策的通知》（国办发〔2025〕34号）规定，本项目对采购本国产品给予政策支持</w:t>
      </w:r>
      <w:r>
        <w:rPr>
          <w:rFonts w:hint="eastAsia" w:ascii="宋体" w:hAnsi="宋体" w:eastAsia="宋体" w:cs="方正魏碑_GBK"/>
          <w:bCs/>
          <w:color w:val="auto"/>
          <w:sz w:val="24"/>
          <w:szCs w:val="24"/>
          <w:highlight w:val="none"/>
          <w:lang w:eastAsia="zh-CN"/>
        </w:rPr>
        <w:t xml:space="preserve">。</w:t>
      </w:r>
      <w:r/>
    </w:p>
    <w:p>
      <w:pPr>
        <w:ind w:firstLine="482"/>
        <w:spacing w:line="560" w:lineRule="exact"/>
        <w:rPr>
          <w:rFonts w:hint="default" w:ascii="宋体" w:hAnsi="宋体" w:eastAsia="宋体" w:cs="方正魏碑_GBK"/>
          <w:bCs/>
          <w:color w:val="auto"/>
          <w:sz w:val="24"/>
          <w:szCs w:val="24"/>
          <w:highlight w:val="none"/>
        </w:rPr>
      </w:pPr>
      <w:r>
        <w:rPr>
          <w:rFonts w:hint="eastAsia" w:ascii="宋体" w:hAnsi="宋体" w:eastAsia="宋体" w:cs="方正魏碑_GBK"/>
          <w:b/>
          <w:color w:val="auto"/>
          <w:sz w:val="24"/>
          <w:szCs w:val="24"/>
          <w:highlight w:val="none"/>
          <w:lang w:val="en-US" w:eastAsia="zh-CN"/>
        </w:rPr>
        <w:t xml:space="preserve">41.2</w:t>
      </w:r>
      <w:r>
        <w:rPr>
          <w:rFonts w:hint="eastAsia" w:ascii="宋体" w:hAnsi="宋体" w:eastAsia="宋体" w:cs="方正魏碑_GBK"/>
          <w:b/>
          <w:color w:val="auto"/>
          <w:sz w:val="24"/>
          <w:szCs w:val="24"/>
          <w:highlight w:val="none"/>
        </w:rPr>
        <w:t xml:space="preserve">本国产品标准适用于服务项目中涉及的货物。</w:t>
      </w:r>
      <w:r>
        <w:rPr>
          <w:rFonts w:hint="eastAsia" w:ascii="宋体" w:hAnsi="宋体" w:eastAsia="宋体" w:cs="方正魏碑_GBK"/>
          <w:bCs/>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spacing w:line="560" w:lineRule="exact"/>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lang w:val="en-US" w:eastAsia="zh-CN" w:bidi="ar-SA"/>
        </w:rPr>
        <w:t xml:space="preserve">3.</w:t>
      </w:r>
      <w:r>
        <w:rPr>
          <w:rFonts w:hint="eastAsia" w:ascii="宋体" w:hAnsi="宋体" w:eastAsia="宋体" w:cs="方正魏碑_GBK"/>
          <w:bCs/>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spacing w:line="560" w:lineRule="exact"/>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lang w:val="en-US" w:eastAsia="zh-CN"/>
        </w:rPr>
        <w:t xml:space="preserve">4</w:t>
      </w:r>
      <w:r>
        <w:rPr>
          <w:rFonts w:hint="eastAsia" w:ascii="宋体" w:hAnsi="宋体" w:eastAsia="宋体" w:cs="方正魏碑_GBK"/>
          <w:bCs/>
          <w:color w:val="auto"/>
          <w:sz w:val="24"/>
          <w:szCs w:val="24"/>
          <w:highlight w:val="none"/>
        </w:rPr>
        <w:t xml:space="preserve">1</w:t>
      </w:r>
      <w:r>
        <w:rPr>
          <w:rFonts w:hint="eastAsia" w:ascii="宋体" w:hAnsi="宋体" w:eastAsia="宋体" w:cs="方正魏碑_GBK"/>
          <w:bCs/>
          <w:color w:val="auto"/>
          <w:sz w:val="24"/>
          <w:szCs w:val="24"/>
          <w:highlight w:val="none"/>
          <w:lang w:val="en-US" w:eastAsia="zh-CN"/>
        </w:rPr>
        <w:t xml:space="preserve">.3</w:t>
      </w:r>
      <w:r>
        <w:rPr>
          <w:rFonts w:hint="eastAsia" w:ascii="宋体" w:hAnsi="宋体" w:eastAsia="宋体" w:cs="方正魏碑_GBK"/>
          <w:bCs/>
          <w:color w:val="auto"/>
          <w:sz w:val="24"/>
          <w:szCs w:val="24"/>
          <w:highlight w:val="none"/>
        </w:rPr>
        <w:t xml:space="preserve"> 供应商为</w:t>
      </w:r>
      <w:r>
        <w:rPr>
          <w:rFonts w:hint="eastAsia" w:ascii="宋体" w:hAnsi="宋体" w:eastAsia="宋体" w:cs="方正魏碑_GBK"/>
          <w:bCs/>
          <w:color w:val="auto"/>
          <w:sz w:val="24"/>
          <w:szCs w:val="24"/>
          <w:highlight w:val="none"/>
          <w:lang w:val="en-US" w:eastAsia="zh-CN"/>
        </w:rPr>
        <w:t xml:space="preserve">本</w:t>
      </w:r>
      <w:r>
        <w:rPr>
          <w:rFonts w:hint="eastAsia" w:ascii="宋体" w:hAnsi="宋体" w:eastAsia="宋体" w:cs="方正魏碑_GBK"/>
          <w:bCs/>
          <w:color w:val="auto"/>
          <w:sz w:val="24"/>
          <w:szCs w:val="24"/>
          <w:highlight w:val="none"/>
        </w:rPr>
        <w:t xml:space="preserve">采购包提供的符合本国产品标准的货物成本之和占供应商提供的整个采购包成本之和的比例达到80%以上时（供应商需在“第六章 投标文件格式”的“附件2 投标分项报价表”中填写比例数值），依法对供应商整个采购包给予价格评审优惠，即对供应商整个采购包的总报价给予20%的价格扣除，用扣除后的价格参与评审。供应商未填写比例数值，或比例数值不足80%的，将不享受本国产品价格评审优惠。</w:t>
      </w:r>
      <w:r/>
    </w:p>
    <w:p>
      <w:pPr>
        <w:numPr>
          <w:ilvl w:val="0"/>
          <w:numId w:val="0"/>
        </w:numPr>
        <w:ind w:firstLine="480"/>
        <w:spacing w:line="560" w:lineRule="exact"/>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lang w:val="en-US" w:eastAsia="zh-CN"/>
        </w:rPr>
        <w:t xml:space="preserve">41.4</w:t>
      </w:r>
      <w:r>
        <w:rPr>
          <w:rFonts w:hint="eastAsia" w:ascii="宋体" w:hAnsi="宋体" w:eastAsia="宋体" w:cs="方正魏碑_GBK"/>
          <w:bCs/>
          <w:color w:val="auto"/>
          <w:sz w:val="24"/>
          <w:szCs w:val="24"/>
          <w:highlight w:val="none"/>
        </w:rPr>
        <w:t xml:space="preserve"> 供应商需按照招标文件的要求提供《关于符合本国产品标准的声明函》（以下简称《声明函》），如不提供将不享受本国产品价格评审优惠。</w:t>
      </w:r>
      <w:r/>
    </w:p>
    <w:p>
      <w:pPr>
        <w:numPr>
          <w:ilvl w:val="0"/>
          <w:numId w:val="0"/>
        </w:numPr>
        <w:ind w:firstLine="480"/>
        <w:spacing w:line="560" w:lineRule="exact"/>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lang w:val="en-US" w:eastAsia="zh-CN"/>
        </w:rPr>
        <w:t xml:space="preserve">41.5</w:t>
      </w:r>
      <w:r>
        <w:rPr>
          <w:rFonts w:hint="eastAsia" w:ascii="宋体" w:hAnsi="宋体" w:eastAsia="宋体" w:cs="方正魏碑_GBK"/>
          <w:bCs/>
          <w:color w:val="auto"/>
          <w:sz w:val="24"/>
          <w:szCs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numPr>
          <w:ilvl w:val="0"/>
          <w:numId w:val="0"/>
        </w:numPr>
        <w:ind w:firstLine="480"/>
        <w:spacing w:line="560" w:lineRule="exact"/>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lang w:val="en-US" w:eastAsia="zh-CN"/>
        </w:rPr>
        <w:t xml:space="preserve">41.6</w:t>
      </w:r>
      <w:r>
        <w:rPr>
          <w:rFonts w:hint="eastAsia" w:ascii="宋体" w:hAnsi="宋体" w:eastAsia="宋体" w:cs="方正魏碑_GBK"/>
          <w:bCs/>
          <w:color w:val="auto"/>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spacing w:line="560" w:lineRule="exact"/>
        <w:rPr>
          <w:rFonts w:hint="default" w:ascii="宋体" w:hAnsi="宋体" w:eastAsia="宋体" w:cs="方正魏碑_GBK"/>
          <w:bCs/>
          <w:color w:val="auto"/>
          <w:sz w:val="24"/>
          <w:szCs w:val="24"/>
          <w:highlight w:val="none"/>
        </w:rPr>
      </w:pPr>
      <w:r>
        <w:rPr>
          <w:rFonts w:hint="default" w:ascii="宋体" w:hAnsi="宋体" w:eastAsia="宋体" w:cs="方正魏碑_GBK"/>
          <w:bCs/>
          <w:color w:val="auto"/>
          <w:sz w:val="24"/>
          <w:szCs w:val="24"/>
          <w:highlight w:val="none"/>
        </w:rPr>
      </w:r>
      <w:r/>
    </w:p>
    <w:p>
      <w:pPr>
        <w:numPr>
          <w:ilvl w:val="0"/>
          <w:numId w:val="0"/>
        </w:numPr>
        <w:ind w:firstLine="480"/>
        <w:spacing w:line="560" w:lineRule="exact"/>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rPr>
        <w:br w:type="page" w:clear="all"/>
      </w:r>
      <w:r/>
    </w:p>
    <w:p>
      <w:pPr>
        <w:jc w:val="left"/>
        <w:widowControl/>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pStyle w:val="996"/>
        <w:jc w:val="center"/>
        <w:rPr>
          <w:color w:val="auto"/>
          <w:highlight w:val="none"/>
        </w:rPr>
      </w:pPr>
      <w:r/>
      <w:bookmarkStart w:id="2" w:name="__RefHeading___Toc162361612"/>
      <w:r/>
      <w:bookmarkEnd w:id="2"/>
      <w:r>
        <w:rPr>
          <w:rFonts w:ascii="宋体;SimSun" w:hAnsi="宋体;SimSun" w:eastAsia="宋体;SimSun" w:cs="宋体;SimSun"/>
          <w:b w:val="0"/>
          <w:color w:val="auto"/>
          <w:highlight w:val="none"/>
        </w:rPr>
        <w:t xml:space="preserve">第三章 政府采购合同格式</w:t>
      </w:r>
      <w:r/>
    </w:p>
    <w:p>
      <w:pPr>
        <w:ind w:firstLine="880"/>
        <w:rPr>
          <w:rFonts w:ascii="宋体;SimSun" w:hAnsi="宋体;SimSun" w:eastAsia="宋体;SimSun" w:cs="宋体;SimSun"/>
          <w:color w:val="auto"/>
          <w:sz w:val="44"/>
          <w:highlight w:val="none"/>
        </w:rPr>
      </w:pPr>
      <w:r>
        <w:rPr>
          <w:rFonts w:ascii="宋体;SimSun" w:hAnsi="宋体;SimSun" w:eastAsia="宋体;SimSun" w:cs="宋体;SimSun"/>
          <w:color w:val="auto"/>
          <w:sz w:val="44"/>
          <w:highlight w:val="none"/>
        </w:rPr>
      </w:r>
      <w:r/>
    </w:p>
    <w:p>
      <w:pPr>
        <w:ind w:firstLine="880"/>
        <w:rPr>
          <w:rFonts w:ascii="宋体;SimSun" w:hAnsi="宋体;SimSun" w:eastAsia="宋体;SimSun" w:cs="宋体;SimSun"/>
          <w:color w:val="auto"/>
          <w:sz w:val="44"/>
          <w:highlight w:val="none"/>
        </w:rPr>
      </w:pPr>
      <w:r>
        <w:rPr>
          <w:rFonts w:ascii="宋体;SimSun" w:hAnsi="宋体;SimSun" w:eastAsia="宋体;SimSun" w:cs="宋体;SimSun"/>
          <w:color w:val="auto"/>
          <w:sz w:val="44"/>
          <w:highlight w:val="none"/>
        </w:rPr>
      </w:r>
      <w:r/>
    </w:p>
    <w:p>
      <w:pPr>
        <w:ind w:firstLine="880"/>
        <w:rPr>
          <w:rFonts w:ascii="宋体;SimSun" w:hAnsi="宋体;SimSun" w:eastAsia="宋体;SimSun" w:cs="宋体;SimSun"/>
          <w:color w:val="auto"/>
          <w:sz w:val="44"/>
          <w:highlight w:val="none"/>
        </w:rPr>
      </w:pPr>
      <w:r>
        <w:rPr>
          <w:rFonts w:ascii="宋体;SimSun" w:hAnsi="宋体;SimSun" w:eastAsia="宋体;SimSun" w:cs="宋体;SimSun"/>
          <w:color w:val="auto"/>
          <w:sz w:val="44"/>
          <w:highlight w:val="none"/>
        </w:rPr>
      </w:r>
      <w:r/>
    </w:p>
    <w:p>
      <w:pPr>
        <w:ind w:firstLine="880"/>
        <w:rPr>
          <w:rFonts w:ascii="宋体;SimSun" w:hAnsi="宋体;SimSun" w:eastAsia="宋体;SimSun" w:cs="宋体;SimSun"/>
          <w:color w:val="auto"/>
          <w:sz w:val="44"/>
          <w:highlight w:val="none"/>
        </w:rPr>
      </w:pPr>
      <w:r>
        <w:rPr>
          <w:rFonts w:ascii="宋体;SimSun" w:hAnsi="宋体;SimSun" w:eastAsia="宋体;SimSun" w:cs="宋体;SimSun"/>
          <w:color w:val="auto"/>
          <w:sz w:val="44"/>
          <w:highlight w:val="none"/>
        </w:rPr>
      </w:r>
      <w:r/>
    </w:p>
    <w:p>
      <w:pPr>
        <w:ind w:firstLine="2078"/>
        <w:rPr>
          <w:rFonts w:ascii="宋体;SimSun" w:hAnsi="宋体;SimSun" w:eastAsia="宋体;SimSun" w:cs="宋体;SimSun"/>
          <w:b/>
          <w:bCs/>
          <w:color w:val="auto"/>
          <w:sz w:val="52"/>
          <w:highlight w:val="none"/>
        </w:rPr>
      </w:pPr>
      <w:r>
        <w:rPr>
          <w:rFonts w:ascii="宋体;SimSun" w:hAnsi="宋体;SimSun" w:eastAsia="宋体;SimSun" w:cs="宋体;SimSun"/>
          <w:b/>
          <w:bCs/>
          <w:color w:val="auto"/>
          <w:sz w:val="52"/>
          <w:highlight w:val="none"/>
        </w:rPr>
        <w:t xml:space="preserve">连 云 港 市 政 府 采 购</w:t>
      </w:r>
      <w:r/>
    </w:p>
    <w:p>
      <w:pPr>
        <w:ind w:firstLine="420"/>
        <w:rPr>
          <w:rFonts w:ascii="宋体;SimSun" w:hAnsi="宋体;SimSun" w:eastAsia="宋体;SimSun" w:cs="宋体;SimSun"/>
          <w:b/>
          <w:bCs/>
          <w:color w:val="auto"/>
          <w:sz w:val="52"/>
          <w:highlight w:val="none"/>
        </w:rPr>
      </w:pPr>
      <w:r>
        <w:rPr>
          <w:rFonts w:ascii="宋体;SimSun" w:hAnsi="宋体;SimSun" w:eastAsia="宋体;SimSun" w:cs="宋体;SimSun"/>
          <w:b/>
          <w:bCs/>
          <w:color w:val="auto"/>
          <w:sz w:val="52"/>
          <w:highlight w:val="none"/>
        </w:rPr>
      </w:r>
      <w:r/>
    </w:p>
    <w:p>
      <w:pPr>
        <w:ind w:firstLine="883"/>
        <w:jc w:val="center"/>
        <w:rPr>
          <w:color w:val="auto"/>
          <w:highlight w:val="none"/>
        </w:rPr>
      </w:pPr>
      <w:r>
        <w:rPr>
          <w:rFonts w:ascii="宋体;SimSun" w:hAnsi="宋体;SimSun" w:eastAsia="宋体;SimSun" w:cs="宋体;SimSun"/>
          <w:b/>
          <w:bCs/>
          <w:color w:val="auto"/>
          <w:sz w:val="44"/>
          <w:highlight w:val="none"/>
          <w:u w:val="single"/>
        </w:rPr>
        <w:t xml:space="preserve"> 合同</w:t>
      </w:r>
      <w:r/>
    </w:p>
    <w:p>
      <w:pPr>
        <w:ind w:firstLine="420"/>
        <w:rPr>
          <w:rFonts w:ascii="宋体;SimSun" w:hAnsi="宋体;SimSun" w:eastAsia="宋体;SimSun" w:cs="宋体;SimSun"/>
          <w:b/>
          <w:bCs/>
          <w:color w:val="auto"/>
          <w:sz w:val="44"/>
          <w:highlight w:val="none"/>
        </w:rPr>
      </w:pPr>
      <w:r>
        <w:rPr>
          <w:rFonts w:ascii="宋体;SimSun" w:hAnsi="宋体;SimSun" w:eastAsia="宋体;SimSun" w:cs="宋体;SimSun"/>
          <w:b/>
          <w:bCs/>
          <w:color w:val="auto"/>
          <w:sz w:val="44"/>
          <w:highlight w:val="none"/>
        </w:rPr>
      </w:r>
      <w:r/>
    </w:p>
    <w:p>
      <w:pPr>
        <w:ind w:firstLine="3507"/>
        <w:rPr>
          <w:rFonts w:ascii="宋体;SimSun" w:hAnsi="宋体;SimSun" w:eastAsia="宋体;SimSun" w:cs="宋体;SimSun"/>
          <w:b/>
          <w:bCs/>
          <w:color w:val="auto"/>
          <w:sz w:val="44"/>
          <w:highlight w:val="none"/>
        </w:rPr>
      </w:pPr>
      <w:r>
        <w:rPr>
          <w:rFonts w:ascii="宋体;SimSun" w:hAnsi="宋体;SimSun" w:eastAsia="宋体;SimSun" w:cs="宋体;SimSun"/>
          <w:b/>
          <w:bCs/>
          <w:color w:val="auto"/>
          <w:sz w:val="44"/>
          <w:highlight w:val="none"/>
        </w:rPr>
      </w:r>
      <w:r/>
    </w:p>
    <w:p>
      <w:pPr>
        <w:ind w:firstLine="3507"/>
        <w:rPr>
          <w:rFonts w:ascii="宋体;SimSun" w:hAnsi="宋体;SimSun" w:eastAsia="宋体;SimSun" w:cs="宋体;SimSun"/>
          <w:b/>
          <w:bCs/>
          <w:color w:val="auto"/>
          <w:sz w:val="44"/>
          <w:highlight w:val="none"/>
        </w:rPr>
      </w:pPr>
      <w:r>
        <w:rPr>
          <w:rFonts w:ascii="宋体;SimSun" w:hAnsi="宋体;SimSun" w:eastAsia="宋体;SimSun" w:cs="宋体;SimSun"/>
          <w:b/>
          <w:bCs/>
          <w:color w:val="auto"/>
          <w:sz w:val="44"/>
          <w:highlight w:val="none"/>
        </w:rPr>
      </w:r>
      <w:r/>
    </w:p>
    <w:p>
      <w:pPr>
        <w:ind w:firstLine="3507"/>
        <w:rPr>
          <w:rFonts w:ascii="宋体;SimSun" w:hAnsi="宋体;SimSun" w:eastAsia="宋体;SimSun" w:cs="宋体;SimSun"/>
          <w:b/>
          <w:bCs/>
          <w:color w:val="auto"/>
          <w:sz w:val="44"/>
          <w:highlight w:val="none"/>
        </w:rPr>
      </w:pPr>
      <w:r>
        <w:rPr>
          <w:rFonts w:ascii="宋体;SimSun" w:hAnsi="宋体;SimSun" w:eastAsia="宋体;SimSun" w:cs="宋体;SimSun"/>
          <w:b/>
          <w:bCs/>
          <w:color w:val="auto"/>
          <w:sz w:val="44"/>
          <w:highlight w:val="none"/>
        </w:rPr>
      </w:r>
      <w:r/>
    </w:p>
    <w:p>
      <w:pPr>
        <w:ind w:firstLine="1802"/>
        <w:rPr>
          <w:rFonts w:ascii="宋体;SimSun" w:hAnsi="宋体;SimSun" w:eastAsia="宋体;SimSun" w:cs="宋体;SimSun"/>
          <w:b/>
          <w:bCs/>
          <w:color w:val="auto"/>
          <w:sz w:val="44"/>
          <w:szCs w:val="44"/>
          <w:highlight w:val="none"/>
        </w:rPr>
      </w:pPr>
      <w:r>
        <w:rPr>
          <w:rFonts w:ascii="宋体;SimSun" w:hAnsi="宋体;SimSun" w:eastAsia="宋体;SimSun" w:cs="宋体;SimSun"/>
          <w:b/>
          <w:bCs/>
          <w:color w:val="auto"/>
          <w:sz w:val="44"/>
          <w:szCs w:val="44"/>
          <w:highlight w:val="none"/>
        </w:rPr>
        <w:t xml:space="preserve">合同编号：</w:t>
      </w:r>
      <w:r/>
    </w:p>
    <w:p>
      <w:pPr>
        <w:ind w:firstLine="880"/>
        <w:rPr>
          <w:rFonts w:ascii="宋体;SimSun" w:hAnsi="宋体;SimSun" w:eastAsia="宋体;SimSun" w:cs="宋体;SimSun"/>
          <w:b/>
          <w:bCs/>
          <w:color w:val="auto"/>
          <w:sz w:val="44"/>
          <w:szCs w:val="44"/>
          <w:highlight w:val="none"/>
        </w:rPr>
      </w:pPr>
      <w:r>
        <w:rPr>
          <w:rFonts w:ascii="宋体;SimSun" w:hAnsi="宋体;SimSun" w:eastAsia="宋体;SimSun" w:cs="宋体;SimSun"/>
          <w:b/>
          <w:bCs/>
          <w:color w:val="auto"/>
          <w:sz w:val="44"/>
          <w:szCs w:val="44"/>
          <w:highlight w:val="none"/>
        </w:rPr>
      </w:r>
      <w:r/>
    </w:p>
    <w:p>
      <w:pPr>
        <w:ind w:firstLine="880"/>
        <w:rPr>
          <w:rFonts w:ascii="宋体;SimSun" w:hAnsi="宋体;SimSun" w:eastAsia="宋体;SimSun" w:cs="宋体;SimSun"/>
          <w:b/>
          <w:bCs/>
          <w:color w:val="auto"/>
          <w:sz w:val="44"/>
          <w:szCs w:val="44"/>
          <w:highlight w:val="none"/>
        </w:rPr>
      </w:pPr>
      <w:r>
        <w:rPr>
          <w:rFonts w:ascii="宋体;SimSun" w:hAnsi="宋体;SimSun" w:eastAsia="宋体;SimSun" w:cs="宋体;SimSun"/>
          <w:b/>
          <w:bCs/>
          <w:color w:val="auto"/>
          <w:sz w:val="44"/>
          <w:szCs w:val="44"/>
          <w:highlight w:val="none"/>
        </w:rPr>
      </w:r>
      <w:r/>
    </w:p>
    <w:p>
      <w:pPr>
        <w:ind w:firstLine="880"/>
        <w:rPr>
          <w:rFonts w:ascii="宋体;SimSun" w:hAnsi="宋体;SimSun" w:eastAsia="宋体;SimSun" w:cs="宋体;SimSun"/>
          <w:color w:val="auto"/>
          <w:sz w:val="44"/>
          <w:highlight w:val="none"/>
        </w:rPr>
      </w:pPr>
      <w:r>
        <w:rPr>
          <w:rFonts w:ascii="宋体;SimSun" w:hAnsi="宋体;SimSun" w:eastAsia="宋体;SimSun" w:cs="宋体;SimSun"/>
          <w:color w:val="auto"/>
          <w:sz w:val="44"/>
          <w:highlight w:val="none"/>
        </w:rPr>
      </w:r>
      <w:r/>
    </w:p>
    <w:p>
      <w:pPr>
        <w:ind w:firstLine="1758"/>
        <w:rPr>
          <w:rFonts w:ascii="宋体;SimSun" w:hAnsi="宋体;SimSun" w:eastAsia="宋体;SimSun" w:cs="宋体;SimSun"/>
          <w:b/>
          <w:bCs/>
          <w:color w:val="auto"/>
          <w:sz w:val="44"/>
          <w:highlight w:val="none"/>
        </w:rPr>
      </w:pPr>
      <w:r>
        <w:rPr>
          <w:rFonts w:ascii="宋体;SimSun" w:hAnsi="宋体;SimSun" w:eastAsia="宋体;SimSun" w:cs="宋体;SimSun"/>
          <w:b/>
          <w:bCs/>
          <w:color w:val="auto"/>
          <w:sz w:val="44"/>
          <w:highlight w:val="none"/>
        </w:rPr>
        <w:t xml:space="preserve">采购人：</w:t>
      </w:r>
      <w:r/>
    </w:p>
    <w:p>
      <w:pPr>
        <w:ind w:firstLine="1758"/>
        <w:rPr>
          <w:rFonts w:ascii="宋体;SimSun" w:hAnsi="宋体;SimSun" w:eastAsia="宋体;SimSun" w:cs="宋体;SimSun"/>
          <w:b/>
          <w:bCs/>
          <w:color w:val="auto"/>
          <w:sz w:val="44"/>
          <w:highlight w:val="none"/>
        </w:rPr>
      </w:pPr>
      <w:r>
        <w:rPr>
          <w:rFonts w:ascii="宋体;SimSun" w:hAnsi="宋体;SimSun" w:eastAsia="宋体;SimSun" w:cs="宋体;SimSun"/>
          <w:b/>
          <w:bCs/>
          <w:color w:val="auto"/>
          <w:sz w:val="44"/>
          <w:highlight w:val="none"/>
        </w:rPr>
        <w:t xml:space="preserve">中标人：</w:t>
      </w:r>
      <w:r>
        <w:rPr>
          <w:color w:val="auto"/>
          <w:highlight w:val="none"/>
        </w:rPr>
        <w:br w:type="page" w:clear="all"/>
      </w:r>
      <w:r/>
    </w:p>
    <w:p>
      <w:pPr>
        <w:rPr>
          <w:rFonts w:ascii="宋体;SimSun" w:hAnsi="宋体;SimSun" w:eastAsia="宋体;SimSun" w:cs="宋体;SimSun"/>
          <w:b/>
          <w:bCs/>
          <w:color w:val="auto"/>
          <w:sz w:val="44"/>
          <w:highlight w:val="none"/>
        </w:rPr>
      </w:pPr>
      <w:r>
        <w:rPr>
          <w:rFonts w:ascii="宋体;SimSun" w:hAnsi="宋体;SimSun" w:eastAsia="宋体;SimSun" w:cs="宋体;SimSun"/>
          <w:b/>
          <w:bCs/>
          <w:color w:val="auto"/>
          <w:sz w:val="44"/>
          <w:highlight w:val="none"/>
        </w:rPr>
      </w:r>
      <w:r/>
    </w:p>
    <w:p>
      <w:pPr>
        <w:ind w:firstLine="480"/>
        <w:jc w:val="left"/>
        <w:spacing w:line="56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 xml:space="preserve">以下为中标后签订本项目合同的通用条款，中标人不得提出实质性的修改，关于专用条款将由采购人与中标人结合本项目具体情况协商后签订。</w:t>
      </w:r>
      <w:r/>
    </w:p>
    <w:p>
      <w:pPr>
        <w:jc w:val="center"/>
        <w:spacing w:line="360" w:lineRule="auto"/>
        <w:rPr>
          <w:color w:val="auto"/>
          <w:highlight w:val="none"/>
        </w:rPr>
      </w:pPr>
      <w:r>
        <w:rPr>
          <w:rFonts w:ascii="宋体;SimSun" w:hAnsi="宋体;SimSun" w:eastAsia="宋体;SimSun" w:cs="宋体;SimSun"/>
          <w:b/>
          <w:color w:val="auto"/>
          <w:sz w:val="32"/>
          <w:szCs w:val="32"/>
          <w:highlight w:val="none"/>
        </w:rPr>
        <w:t xml:space="preserve">政府采购合同</w:t>
      </w:r>
      <w:r>
        <w:rPr>
          <w:rFonts w:ascii="宋体;SimSun" w:hAnsi="宋体;SimSun" w:eastAsia="宋体;SimSun" w:cs="宋体;SimSun"/>
          <w:color w:val="auto"/>
          <w:sz w:val="28"/>
          <w:szCs w:val="24"/>
          <w:highlight w:val="none"/>
        </w:rPr>
        <w:t xml:space="preserve">（合同编号：***）</w:t>
      </w:r>
      <w:r/>
    </w:p>
    <w:p>
      <w:pPr>
        <w:jc w:val="center"/>
        <w:spacing w:line="500" w:lineRule="exact"/>
        <w:rPr>
          <w:rFonts w:ascii="宋体;SimSun" w:hAnsi="宋体;SimSun" w:eastAsia="宋体;SimSun" w:cs="宋体;SimSun"/>
          <w:color w:val="auto"/>
          <w:sz w:val="32"/>
          <w:szCs w:val="24"/>
          <w:highlight w:val="none"/>
        </w:rPr>
      </w:pPr>
      <w:r>
        <w:rPr>
          <w:rFonts w:ascii="宋体;SimSun" w:hAnsi="宋体;SimSun" w:eastAsia="宋体;SimSun" w:cs="宋体;SimSun"/>
          <w:color w:val="auto"/>
          <w:sz w:val="32"/>
          <w:szCs w:val="24"/>
          <w:highlight w:val="none"/>
        </w:rPr>
        <w:t xml:space="preserve">连云港市政府采购合同（服务）</w:t>
      </w:r>
      <w:r/>
    </w:p>
    <w:p>
      <w:pPr>
        <w:jc w:val="center"/>
        <w:spacing w:line="500" w:lineRule="exact"/>
        <w:rPr>
          <w:rFonts w:ascii="宋体;SimSun" w:hAnsi="宋体;SimSun" w:eastAsia="宋体;SimSun" w:cs="宋体;SimSun"/>
          <w:color w:val="auto"/>
          <w:sz w:val="28"/>
          <w:szCs w:val="24"/>
          <w:highlight w:val="none"/>
        </w:rPr>
      </w:pPr>
      <w:r>
        <w:rPr>
          <w:rFonts w:ascii="宋体;SimSun" w:hAnsi="宋体;SimSun" w:eastAsia="宋体;SimSun" w:cs="宋体;SimSun"/>
          <w:color w:val="auto"/>
          <w:sz w:val="28"/>
          <w:szCs w:val="24"/>
          <w:highlight w:val="none"/>
        </w:rPr>
        <w:t xml:space="preserve">（合同编号：***）</w:t>
      </w:r>
      <w:r/>
    </w:p>
    <w:p>
      <w:pPr>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甲方：（买方）_________</w:t>
      </w:r>
      <w:r/>
    </w:p>
    <w:p>
      <w:pPr>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乙方：（卖方）_________</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甲、乙双方根据 年 月 日 项目（项目编号：）公开招标的结果，签订本合同。</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一、合同内容</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1.1 服务内容： 。</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1.2 服务要求： 。</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1.3 服务标准： 。</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1.4 补充条款： 。</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二、合同金额</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2.1 本合同金额为人民币（大写）： 元（¥）。</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三、技术资料</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3.1 乙方应按招标文件规定的时间向甲方提供有关技术资料。</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四、知识产权</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五、产权担保</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六、履约保证金</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6.1 乙方交纳 合同价的5% 作为本合同的履约保证金，乙方应当以支票、汇票、本票或者金融机构、担保机构出具的保函等非现金形式提交。</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6.2 履约保证金在乙方主要合同义务履行完毕后五个工作日内由甲方以非现金形式一次性退还。</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6.4 逾期退还履约保证金的甲方承担违约责任，按照中国人民银行同期贷款基准利率支付超期资金占用费。</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七、合同转包或分包</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7.2 如有转让和未经甲方同意的分包行为，甲方有权终止合同。</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八、服务时间</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8.1 服务时间： 。</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九、合同内容的交付</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9.1 交 付 期：_________。</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9.2 交付方式：_________。</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9.3 交付地点：_________。</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9.5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十、合同款支付</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10.1 付款方式：_________。</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十一、税费</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11.1 本合同执行中相关的一切税费均由乙方负担。</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十二、质量保证及售后服务</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12.1 乙方应按招标文件规定和投标文件承诺的性能、技术要求、质量标准向甲方提供产品或服务。</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（1）更换：由乙方承担所产生的全部费用。</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12.3 如在使用过程中发生质量问题，乙方在接到甲方通知后 小时内到达甲方现场。</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十三、项目验收</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13.1 甲方依法组织履约验收工作。</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13.3 对于实际使用人和甲方分离的项目，甲方邀请实际使用人参与验收。</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ascii="宋体;SimSun" w:hAnsi="宋体;SimSun" w:eastAsia="宋体;SimSun" w:cs="宋体;SimSun"/>
          <w:color w:val="auto"/>
          <w:sz w:val="24"/>
          <w:highlight w:val="none"/>
        </w:rPr>
        <w:t xml:space="preserve">中华人民共和国民法典</w:t>
      </w:r>
      <w:r>
        <w:rPr>
          <w:rFonts w:ascii="宋体;SimSun" w:hAnsi="宋体;SimSun" w:eastAsia="宋体;SimSun" w:cs="宋体;SimSun"/>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十四、违约责任</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14.1 甲方无正当理由拒收的，甲方向乙方偿付拒收标的总额 的违约金。</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14.2 甲方无故逾期验收和办理合同款支付手续的，甲方应按逾期付款总额每日 向乙方支付违约金，最高限额为本合同总额的 。</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14.3 乙方逾期交付合同标的的，乙方应按逾期交付总额每日 向甲方支付违约金，由甲方从待付合同款中扣除，最高限额为本合同总额的 。逾期超过约定日期 不能交付的，甲方可解除本合同。乙方因逾期交付或因其他违约行为导致甲方解除合同的，乙方应向甲方支付合同总额 的违约金，如造成甲方损失超过违约金的，超出部分由乙方继续承担赔偿责任。 </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十五、不可抗力事件处理</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15.2 不可抗力事件发生后，应立即通知对方，并寄送有关权威机构出具的证明。</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十六、解决争议的方法</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16.1 甲乙双方因合同签订、履行而发生的一切争议，应通过友好协商解决。如协商不成，按下列第</w:t>
      </w:r>
      <w:r>
        <w:rPr>
          <w:rFonts w:ascii="宋体;SimSun" w:hAnsi="宋体;SimSun" w:eastAsia="宋体;SimSun" w:cs="宋体;SimSun"/>
          <w:color w:val="auto"/>
          <w:sz w:val="24"/>
          <w:szCs w:val="24"/>
          <w:highlight w:val="none"/>
          <w:u w:val="single"/>
        </w:rPr>
        <w:t xml:space="preserve">（1）</w:t>
      </w:r>
      <w:r>
        <w:rPr>
          <w:rFonts w:ascii="宋体;SimSun" w:hAnsi="宋体;SimSun" w:eastAsia="宋体;SimSun" w:cs="宋体;SimSun"/>
          <w:color w:val="auto"/>
          <w:sz w:val="24"/>
          <w:szCs w:val="24"/>
          <w:highlight w:val="none"/>
        </w:rPr>
        <w:t xml:space="preserve">种方式解决：</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（1）向连云港仲裁委员会申请仲裁。</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（2）向合同签订地法院起诉，合同签订地在此约定为连云港市。</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十七、合同生效及其他</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17.1 合同经双方法定代表人或授权代表签字并加盖单位公章后生效。</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17.2 本合同未尽事宜，遵照</w:t>
      </w:r>
      <w:r>
        <w:rPr>
          <w:rFonts w:ascii="宋体;SimSun" w:hAnsi="宋体;SimSun" w:eastAsia="宋体;SimSun" w:cs="宋体;SimSun"/>
          <w:color w:val="auto"/>
          <w:sz w:val="24"/>
          <w:highlight w:val="none"/>
        </w:rPr>
        <w:t xml:space="preserve">《中华人民共和国民法典》</w:t>
      </w:r>
      <w:r>
        <w:rPr>
          <w:rFonts w:ascii="宋体;SimSun" w:hAnsi="宋体;SimSun" w:eastAsia="宋体;SimSun" w:cs="宋体;SimSun"/>
          <w:color w:val="auto"/>
          <w:sz w:val="24"/>
          <w:szCs w:val="24"/>
          <w:highlight w:val="none"/>
        </w:rPr>
        <w:t xml:space="preserve">、《</w:t>
      </w:r>
      <w:r>
        <w:rPr>
          <w:rFonts w:ascii="宋体;SimSun" w:hAnsi="宋体;SimSun" w:eastAsia="宋体;SimSun" w:cs="宋体;SimSun"/>
          <w:color w:val="auto"/>
          <w:sz w:val="24"/>
          <w:highlight w:val="none"/>
        </w:rPr>
        <w:t xml:space="preserve">中华人民共和国</w:t>
      </w:r>
      <w:r>
        <w:rPr>
          <w:rFonts w:ascii="宋体;SimSun" w:hAnsi="宋体;SimSun" w:eastAsia="宋体;SimSun" w:cs="宋体;SimSun"/>
          <w:color w:val="auto"/>
          <w:sz w:val="24"/>
          <w:szCs w:val="24"/>
          <w:highlight w:val="none"/>
        </w:rPr>
        <w:t xml:space="preserve">政府采购法》有关条文执行。</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17.3 本合同正本一式四份，具有同等法律效力，甲方执两份、乙方执一份，甲方报一份至政府采购监督管理部门。</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甲方： 乙方： </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地址： 地址： </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法定代表人或授权代表： 法定代表人或授权代表：</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联系电话： 联系电话： </w:t>
      </w:r>
      <w:r/>
    </w:p>
    <w:p>
      <w:pPr>
        <w:ind w:firstLine="480"/>
        <w:jc w:val="right"/>
        <w:spacing w:line="500" w:lineRule="exact"/>
        <w:rPr>
          <w:color w:val="auto"/>
          <w:highlight w:val="none"/>
        </w:rPr>
      </w:pPr>
      <w:r>
        <w:rPr>
          <w:rFonts w:ascii="宋体;SimSun" w:hAnsi="宋体;SimSun" w:eastAsia="宋体;SimSun" w:cs="宋体;SimSun"/>
          <w:color w:val="auto"/>
          <w:sz w:val="24"/>
          <w:szCs w:val="24"/>
          <w:highlight w:val="none"/>
        </w:rPr>
        <w:t xml:space="preserve">签订日期： 年 月 日</w:t>
      </w:r>
      <w:r/>
    </w:p>
    <w:p>
      <w:pPr>
        <w:jc w:val="left"/>
        <w:widowControl/>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pStyle w:val="996"/>
        <w:jc w:val="center"/>
        <w:spacing w:line="360" w:lineRule="auto"/>
        <w:rPr>
          <w:rFonts w:ascii="宋体;SimSun" w:hAnsi="宋体;SimSun" w:eastAsia="宋体;SimSun" w:cs="宋体;SimSun"/>
          <w:b w:val="0"/>
          <w:color w:val="auto"/>
          <w:highlight w:val="none"/>
        </w:rPr>
      </w:pPr>
      <w:r/>
      <w:bookmarkStart w:id="3" w:name="__RefHeading___Toc162361613"/>
      <w:r/>
      <w:bookmarkEnd w:id="3"/>
      <w:r>
        <w:rPr>
          <w:rFonts w:ascii="宋体;SimSun" w:hAnsi="宋体;SimSun" w:eastAsia="宋体;SimSun" w:cs="宋体;SimSun"/>
          <w:b w:val="0"/>
          <w:color w:val="auto"/>
          <w:highlight w:val="none"/>
        </w:rPr>
        <w:t xml:space="preserve">第四章 采购需求</w:t>
      </w:r>
      <w:r/>
    </w:p>
    <w:p>
      <w:pPr>
        <w:ind w:firstLine="480"/>
        <w:jc w:val="left"/>
        <w:spacing w:line="500" w:lineRule="exact"/>
        <w:rPr>
          <w:color w:val="auto"/>
          <w:highlight w:val="none"/>
        </w:rPr>
      </w:pPr>
      <w:r>
        <w:rPr>
          <w:rFonts w:ascii="宋体;SimSun" w:hAnsi="宋体;SimSun" w:eastAsia="宋体;SimSun" w:cs="宋体;SimSun"/>
          <w:b/>
          <w:color w:val="auto"/>
          <w:sz w:val="24"/>
          <w:szCs w:val="24"/>
          <w:highlight w:val="none"/>
        </w:rPr>
        <w:t xml:space="preserve">说明：本项目采购方式为公开招标，项目属性为服务，采购标的对应的中小企业划分标准所属行业为　其他未列明行业 。</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1.根据《政府采购需求管理办法》等有关规定，采购人确定采购需求。</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2.本招标文件中</w:t>
      </w:r>
      <w:r>
        <w:rPr>
          <w:rFonts w:ascii="宋体;SimSun" w:hAnsi="宋体;SimSun" w:eastAsia="宋体;SimSun" w:cs="宋体;SimSun"/>
          <w:b/>
          <w:color w:val="auto"/>
          <w:sz w:val="24"/>
          <w:szCs w:val="24"/>
          <w:highlight w:val="none"/>
        </w:rPr>
        <w:t xml:space="preserve">标注★的款项为</w:t>
      </w:r>
      <w:r>
        <w:rPr>
          <w:rFonts w:ascii="宋体;SimSun" w:hAnsi="宋体;SimSun" w:eastAsia="宋体;SimSun" w:cs="宋体;SimSun"/>
          <w:color w:val="auto"/>
          <w:sz w:val="24"/>
          <w:szCs w:val="24"/>
          <w:highlight w:val="none"/>
        </w:rPr>
        <w:t xml:space="preserve">实质性要求和条件，由采购人根据实际情况设置，投标人必须逐条明确作出满足实质性要求和条件的响应，否则将按无效投标处理。</w:t>
      </w:r>
      <w:r/>
    </w:p>
    <w:p>
      <w:pPr>
        <w:spacing w:line="560" w:lineRule="exact"/>
        <w:rPr>
          <w:rFonts w:ascii="宋体;SimSun" w:hAnsi="宋体;SimSun" w:eastAsia="宋体;SimSun" w:cs="宋体;SimSun"/>
          <w:b/>
          <w:bCs/>
          <w:color w:val="auto"/>
          <w:sz w:val="24"/>
          <w:szCs w:val="24"/>
          <w:highlight w:val="none"/>
        </w:rPr>
        <w:outlineLvl w:val="0"/>
      </w:pPr>
      <w:r>
        <w:rPr>
          <w:rFonts w:ascii="宋体;SimSun" w:hAnsi="宋体;SimSun" w:eastAsia="宋体;SimSun" w:cs="宋体;SimSun"/>
          <w:b/>
          <w:bCs/>
          <w:color w:val="auto"/>
          <w:sz w:val="24"/>
          <w:szCs w:val="24"/>
          <w:highlight w:val="none"/>
        </w:rPr>
        <w:t xml:space="preserve">一、项目背景</w:t>
      </w:r>
      <w:r/>
    </w:p>
    <w:p>
      <w:pPr>
        <w:ind w:firstLine="420"/>
        <w:spacing w:line="360" w:lineRule="auto"/>
        <w:rPr>
          <w:color w:val="auto"/>
          <w:highlight w:val="none"/>
        </w:rPr>
      </w:pPr>
      <w:r>
        <w:rPr>
          <w:rFonts w:ascii="宋体;SimSun" w:hAnsi="宋体;SimSun" w:eastAsia="宋体;SimSun" w:cs="宋体;SimSun"/>
          <w:color w:val="auto"/>
          <w:sz w:val="22"/>
          <w:szCs w:val="28"/>
          <w:highlight w:val="none"/>
        </w:rPr>
        <w:t xml:space="preserve">连云港石化产业基地拓展区（板桥片区）智慧平台项目严格依据国家及江苏省相关政策文件要求推进建设，核心政策依据包括《智慧化工园区建设规范》《化工园区安全风险智能化管控平台建设指南》《江苏省化工园区化工集中区封闭化建设指南》《工业园区生态环境管理信息系统建设指南》《化工园区智慧化评价导则》，以及2025年正式发布实施的《江苏省化工园区认定工作标准（2025版）》等。该项目建设契合江苏省化工园区信息化、智能化建设及扩区认定相关要求，是严格落实各项政策规定、满足园区合规认定及规范化管理需求的必然举措。</w:t>
      </w:r>
      <w:r/>
    </w:p>
    <w:p>
      <w:pPr>
        <w:ind w:firstLine="420"/>
        <w:spacing w:line="360" w:lineRule="auto"/>
        <w:rPr>
          <w:color w:val="auto"/>
          <w:highlight w:val="none"/>
        </w:rPr>
        <w:sectPr>
          <w:footerReference w:type="default" r:id="rId15"/>
          <w:footnotePr/>
          <w:endnotePr/>
          <w:type w:val="nextPage"/>
          <w:pgSz w:w="11906" w:h="16838" w:orient="portrait"/>
          <w:pgMar w:top="1440" w:right="1800" w:bottom="1440" w:left="1800" w:header="0" w:footer="992" w:gutter="0"/>
          <w:cols w:num="1" w:sep="0" w:space="720" w:equalWidth="1"/>
          <w:docGrid w:linePitch="360"/>
        </w:sectPr>
      </w:pPr>
      <w:r>
        <w:rPr>
          <w:color w:val="auto"/>
          <w:highlight w:val="none"/>
        </w:rPr>
        <w:t xml:space="preserve">连云港石化产业基地拓展区（板桥片区）智慧平台项目建设，将构建以板桥片区为核心监管区域、兼顾上合物流园（连云开发区）基础监管的一体化智慧管控体系，可实现园区安全风险智能化管控、封闭化管理、环境与能源实时监测、敏捷应急处置等核心功能。通过打通数据壁垒、实现跨区域、跨部门协同联动，既能满足化工园区认定标准，全面提升园区运营管理效能和安全治理水平，为区域一体化高质量发展提供坚实智慧支撑，也能确保园区监测监控数据按要求规范对接上级相关主管部门。</w:t>
      </w:r>
      <w:r/>
    </w:p>
    <w:p>
      <w:pPr>
        <w:ind w:firstLine="420"/>
        <w:spacing w:line="360" w:lineRule="auto"/>
        <w:rPr>
          <w:rFonts w:ascii="宋体;SimSun" w:hAnsi="宋体;SimSun" w:eastAsia="宋体;SimSun" w:cs="宋体;SimSun"/>
          <w:b/>
          <w:bCs/>
          <w:color w:val="auto"/>
          <w:sz w:val="24"/>
          <w:szCs w:val="24"/>
          <w:highlight w:val="none"/>
        </w:rPr>
        <w:outlineLvl w:val="0"/>
      </w:pPr>
      <w:r>
        <w:rPr>
          <w:rFonts w:ascii="宋体;SimSun" w:hAnsi="宋体;SimSun" w:eastAsia="宋体;SimSun" w:cs="宋体;SimSun"/>
          <w:b/>
          <w:bCs/>
          <w:color w:val="auto"/>
          <w:sz w:val="24"/>
          <w:szCs w:val="24"/>
          <w:highlight w:val="none"/>
        </w:rPr>
        <w:t xml:space="preserve">二、项目需求</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连云港石化产业基地拓展区（板桥片区）智慧平台项目建设，主要由软件平台建设、配套硬件设备设施、运营服务等部分组成，具体需求如下：</w:t>
      </w:r>
      <w:r/>
    </w:p>
    <w:p>
      <w:pPr>
        <w:numPr>
          <w:ilvl w:val="0"/>
          <w:numId w:val="3"/>
        </w:numPr>
        <w:ind w:left="420"/>
        <w:spacing w:line="360" w:lineRule="auto"/>
        <w:rPr>
          <w:rFonts w:ascii="宋体;SimSun" w:hAnsi="宋体;SimSun" w:eastAsia="宋体;SimSun" w:cs="宋体;SimSun"/>
          <w:b/>
          <w:bCs/>
          <w:color w:val="auto"/>
          <w:sz w:val="24"/>
          <w:szCs w:val="24"/>
          <w:highlight w:val="none"/>
        </w:rPr>
        <w:outlineLvl w:val="1"/>
      </w:pPr>
      <w:r>
        <w:rPr>
          <w:rFonts w:ascii="宋体;SimSun" w:hAnsi="宋体;SimSun" w:eastAsia="宋体;SimSun" w:cs="宋体;SimSun"/>
          <w:b/>
          <w:bCs/>
          <w:color w:val="auto"/>
          <w:sz w:val="24"/>
          <w:szCs w:val="24"/>
          <w:highlight w:val="none"/>
        </w:rPr>
        <w:t xml:space="preserve">数据中台需求</w:t>
      </w:r>
      <w:r/>
    </w:p>
    <w:p>
      <w:pPr>
        <w:ind w:firstLine="420"/>
        <w:spacing w:line="360" w:lineRule="auto"/>
        <w:rPr>
          <w:color w:val="auto"/>
          <w:highlight w:val="none"/>
        </w:rPr>
      </w:pPr>
      <w:r>
        <w:rPr>
          <w:rFonts w:ascii="宋体;SimSun" w:hAnsi="宋体;SimSun" w:eastAsia="宋体;SimSun" w:cs="宋体;SimSun"/>
          <w:color w:val="auto"/>
          <w:sz w:val="24"/>
          <w:szCs w:val="24"/>
          <w:highlight w:val="none"/>
        </w:rPr>
        <w:t xml:space="preserve">本项目建设统一的数据中台，数据中台建设以数据全生命周期管理为核心，通过部署数据集成、可视化ETL、数据开发及数据治理四大核心模块，构建统一的数据汇集与质</w:t>
      </w:r>
      <w:r>
        <w:rPr>
          <w:color w:val="auto"/>
          <w:highlight w:val="none"/>
        </w:rPr>
        <w:t xml:space="preserve">量管控体系，确保数据的准确性与合规性；同时依托数据资产、数据集市及数据服务模块，实现资产的规范化运营与标准化输出，最终借助可视化图表、数据安全与日志管理，为上层业务分析、决策支撑及系统应用提供安全、稳定、高效的数据服务能力，全面赋能企业数字化转型。数据中台建设需求清单如下：</w:t>
      </w:r>
      <w:r/>
    </w:p>
    <w:tbl>
      <w:tblPr>
        <w:tblStyle w:val="1006"/>
        <w:tblW w:w="4950" w:type="pct"/>
        <w:tblInd w:w="-113" w:type="dxa"/>
        <w:tblLayout w:type="fixed"/>
        <w:tblCellMar>
          <w:left w:w="108" w:type="dxa"/>
          <w:top w:w="0" w:type="dxa"/>
          <w:right w:w="108" w:type="dxa"/>
          <w:bottom w:w="0" w:type="dxa"/>
        </w:tblCellMar>
        <w:tblLook w:val="04A0" w:firstRow="1" w:lastRow="0" w:firstColumn="1" w:lastColumn="0" w:noHBand="0" w:noVBand="1"/>
      </w:tblPr>
      <w:tblGrid>
        <w:gridCol w:w="923"/>
        <w:gridCol w:w="2673"/>
        <w:gridCol w:w="8064"/>
        <w:gridCol w:w="1190"/>
        <w:gridCol w:w="1182"/>
      </w:tblGrid>
      <w:tr>
        <w:trPr>
          <w:trHeight w:val="285"/>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模块</w:t>
            </w:r>
            <w:r/>
          </w:p>
        </w:tc>
        <w:tc>
          <w:tcPr>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说明</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单位</w:t>
            </w:r>
            <w:r/>
          </w:p>
        </w:tc>
      </w:tr>
      <w:tr>
        <w:trPr>
          <w:trHeight w:val="108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数据集成</w:t>
            </w:r>
            <w:r/>
          </w:p>
        </w:tc>
        <w:tc>
          <w:tcPr>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数据集成模块作为数据中台的“数据入口”，承担着多源异构数据跨网络、跨地域统一接入的核心职责，涵盖数据库、应用接口、各类文件、手工填报等多种数据源类型，将企业分散在不同来源、格式的数据进行归集与整合，打破数据孤岛，为后续治理和应用搭建基础的数据汇集通道。</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可视化抽取转化加载</w:t>
            </w:r>
            <w:r/>
          </w:p>
        </w:tc>
        <w:tc>
          <w:tcPr>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可视化抽取转化加载（ETL）模块以“低代码、高易用性”为核心设计理念，构建可视化、组件化的 ETL 工具集，降低数据处理的技术门槛，让业务人员无需编写复杂代码，通过拖拽操作即可完成数据清洗、转换、加载等处理流程，同时也为技术人员提供了灵活的扩展能力，适配不同用户群体的使用需求。</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统计图表</w:t>
            </w:r>
            <w:r/>
          </w:p>
        </w:tc>
        <w:tc>
          <w:tcPr>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可视化图表模块作为数据中台的数据价值展示窗口，以直观、易懂的方式将处理后的结构化数据转化为图表、大屏等可视化形式，让用户快速获取数据洞察，支撑业务决策，无需专业的可视化开发技能即可完成配置与使用。</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数据开发</w:t>
            </w:r>
            <w:r/>
          </w:p>
        </w:tc>
        <w:tc>
          <w:tcPr>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开发模块为技术人员提供了一套全流程的专业数据开发工具，支撑复杂数据处理任务的开发、调度、运维与监控，涵盖数据表管理、数据生产、调度中心、运维中心、资源中心、配置中心等核心功能，确保数据处理任务的高效开发与稳定运行。 </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套</w:t>
            </w:r>
            <w:r/>
          </w:p>
        </w:tc>
      </w:tr>
      <w:tr>
        <w:trPr>
          <w:trHeight w:val="189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数据治理</w:t>
            </w:r>
            <w:r/>
          </w:p>
        </w:tc>
        <w:tc>
          <w:tcPr>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数据治理模块作为数据中台的“质量管控核心”，覆盖数据全生命周期的治理工作，包括元数据管理、数据血缘分析、数据标准制定、数据质量监控、数据标签管理、主数据管理、数据推送、数据预警等功能，解决数据错误、重复、不一致、不完整等问题，确保数据“干净、准确、可用、合规”，提升数据资产的价值。 通过系统调研全面摸清企业现有数据的分布、现状，再针对性制定数据标准（统一数据定义、格式）、数据质量规则（保障数据准确可靠）、数据安全规范（明确数据访问、存储的安全要求），为数据管理立好 “规矩”。</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数据资产</w:t>
            </w:r>
            <w:r/>
          </w:p>
        </w:tc>
        <w:tc>
          <w:tcPr>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数据资产模块致力于实现数据资产的规范化管理与价值挖掘，通过建立资产目录、展示资产总览，让数据管理者清晰掌握企业数据资产的总量、类型、来源、使用情况与价值分布，提升数据资产的管理效率与利用价值。 聚焦数据存储与管理载体的搭建，结合数据湖（支持海量、多格式原始数据存储）和数据仓库（面向业务主题的结构化数据整合）的特点，完成两者的设计与开发，实现数据的分层、高效存储与管理。</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数据集市</w:t>
            </w:r>
            <w:r/>
          </w:p>
        </w:tc>
        <w:tc>
          <w:tcPr>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数据集市模块面向具体业务场景，提供数据资产的按需分配、共享与应用入口，将数据中台的标准化数据转化为业务可用的数据集，支撑业务分析、报表开发、应用系统建设等场景，实现数据资产的价值落地。 </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套</w:t>
            </w:r>
            <w:r/>
          </w:p>
        </w:tc>
      </w:tr>
      <w:tr>
        <w:trPr>
          <w:trHeight w:val="135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数据服务</w:t>
            </w:r>
            <w:r/>
          </w:p>
        </w:tc>
        <w:tc>
          <w:tcPr>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服务模块将数据中台处理后的标准化数据，封装为标准化的API接口，对外提供安全、稳定、高效的数据服务，同时提供完善的接口管理、权限控制与监控功能，支撑外部应用系统的数据访问需求，实现数据资产的价值输出。 围绕数据的对外应用，开发对应的服务接口，让企业内部其他系统、业务人员可以通过标准化接口便捷地获取、调用治理后的优质数据，将数据价值转化为业务可用的服务能力。</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数据安全</w:t>
            </w:r>
            <w:r/>
          </w:p>
        </w:tc>
        <w:tc>
          <w:tcPr>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数据安全模块构建了全方位、全流程的数据安全防护体系，覆盖数据存储、传输、访问、使用等各个环节，通过安全等级划分、脱敏规则配置、数据权限控制等功能，保障数据资产不泄露、不篡改、合规使用。</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日志管理</w:t>
            </w:r>
            <w:r/>
          </w:p>
        </w:tc>
        <w:tc>
          <w:tcPr>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日志管理模块全面记录数据中台的系统运行日志、用户操作日志、数据处理日志等各类日志信息，为系统运维、安全审计、问题排查提供完整的依据，保障系统的稳定运行与合规使用。</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套</w:t>
            </w:r>
            <w:r/>
          </w:p>
        </w:tc>
      </w:tr>
    </w:tbl>
    <w:p>
      <w:pPr>
        <w:numPr>
          <w:ilvl w:val="0"/>
          <w:numId w:val="3"/>
        </w:numPr>
        <w:ind w:left="420"/>
        <w:spacing w:line="360" w:lineRule="auto"/>
        <w:rPr>
          <w:rFonts w:ascii="宋体;SimSun" w:hAnsi="宋体;SimSun" w:eastAsia="宋体;SimSun" w:cs="宋体;SimSun"/>
          <w:b/>
          <w:bCs/>
          <w:color w:val="auto"/>
          <w:sz w:val="24"/>
          <w:szCs w:val="24"/>
          <w:highlight w:val="none"/>
        </w:rPr>
        <w:outlineLvl w:val="1"/>
      </w:pPr>
      <w:r>
        <w:rPr>
          <w:rFonts w:ascii="宋体;SimSun" w:hAnsi="宋体;SimSun" w:eastAsia="宋体;SimSun" w:cs="宋体;SimSun"/>
          <w:b/>
          <w:bCs/>
          <w:color w:val="auto"/>
          <w:sz w:val="24"/>
          <w:szCs w:val="24"/>
          <w:highlight w:val="none"/>
        </w:rPr>
        <w:t xml:space="preserve">智慧平台需求</w:t>
      </w:r>
      <w:r/>
    </w:p>
    <w:p>
      <w:pPr>
        <w:ind w:firstLine="480"/>
        <w:spacing w:line="360" w:lineRule="auto"/>
        <w:rPr>
          <w:color w:val="auto"/>
          <w:highlight w:val="none"/>
        </w:rPr>
      </w:pPr>
      <w:r>
        <w:rPr>
          <w:color w:val="auto"/>
          <w:highlight w:val="none"/>
        </w:rPr>
        <w:t xml:space="preserve">根据国家、江苏省地方标准要求进行建设，智慧平台建设内容包含应用支撑平台、安全生产管理系统、敏捷应急管理系统、封闭园区管理系统、环保管理系统等模块，以实现信息化综合监管的大一统，全面覆盖园区安全、应急、封闭化等业务管理。智慧平台建设需求清单如下：</w:t>
      </w:r>
      <w:r/>
    </w:p>
    <w:tbl>
      <w:tblPr>
        <w:tblStyle w:val="1006"/>
        <w:tblW w:w="4950" w:type="pct"/>
        <w:tblInd w:w="-113" w:type="dxa"/>
        <w:tblLayout w:type="fixed"/>
        <w:tblCellMar>
          <w:left w:w="108" w:type="dxa"/>
          <w:top w:w="0" w:type="dxa"/>
          <w:right w:w="108" w:type="dxa"/>
          <w:bottom w:w="0" w:type="dxa"/>
        </w:tblCellMar>
        <w:tblLook w:val="04A0" w:firstRow="1" w:lastRow="0" w:firstColumn="1" w:lastColumn="0" w:noHBand="0" w:noVBand="1"/>
      </w:tblPr>
      <w:tblGrid>
        <w:gridCol w:w="775"/>
        <w:gridCol w:w="1431"/>
        <w:gridCol w:w="1499"/>
        <w:gridCol w:w="1867"/>
        <w:gridCol w:w="6878"/>
        <w:gridCol w:w="811"/>
        <w:gridCol w:w="771"/>
      </w:tblGrid>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主要建设系统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子系统/核心功能模块</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功能概述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单位</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1、应用支撑平台</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一体化管理平台</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统一用户管理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对化工园区管理平台涉及的所有用户信息进行集中化管理。涵盖用户注册、审核、信息编辑、删除等操作，构建完整的用户信息库。</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统一权限管理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根据用户的角色、职责以及业务需求，为不同用户分配相应的操作权限。可灵活设置菜单访问权限、数据查看权限、功能使用权限等，实现对用户操作的精细化控制。</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日志管理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自动记录平台上所有用户的操作行为，包括登录时间、操作内容、操作时间、操作结果等信息，并对这些日志进行分类存储、查询和统计分析。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个人中心</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为每个用户提供个性化的操作界面，用户可在个人中心查看自己的基本信息、修改个人密码、设置个性化偏好、查看个人操作记录等。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系统管理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负责对平台的整体运行环境进行配置和管理，包括服务器参数设置、系统参数配置、数据备份与恢复、系统升级等操作。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w:t>
            </w:r>
            <w:r/>
          </w:p>
        </w:tc>
        <w:tc>
          <w:tcPr>
            <w:gridSpan w:val="3"/>
            <w:tcBorders>
              <w:top w:val="single" w:color="000000" w:sz="4" w:space="0"/>
              <w:left w:val="single" w:color="000000" w:sz="4" w:space="0"/>
              <w:bottom w:val="single" w:color="000000" w:sz="4" w:space="0"/>
              <w:right w:val="single" w:color="000000" w:sz="4" w:space="0"/>
            </w:tcBorders>
            <w:tcW w:w="472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物联网汇聚平台建设</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支持对园区内门禁系统、视频监控系统等智能子系统提供数据接入和管理功能；</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color w:val="auto"/>
                <w:highlight w:val="none"/>
              </w:rPr>
            </w:pPr>
            <w:r>
              <w:rPr>
                <w:rFonts w:ascii="宋体;SimSun" w:hAnsi="宋体;SimSun" w:eastAsia="宋体;SimSun" w:cs="宋体;SimSun"/>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数据共享交换平台</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对接应急、环保、交通、徐圩新区等。</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通过开发API接口等常用方式实现数据对接与共享。对接应急、环保、交通、徐圩新区等。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综合管理一张图</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地理信息系统</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highlight w:val="none"/>
              </w:rPr>
            </w:pPr>
            <w:r>
              <w:rPr>
                <w:rFonts w:ascii="宋体;SimSun" w:hAnsi="宋体;SimSun" w:eastAsia="宋体;SimSun" w:cs="宋体;SimSun"/>
                <w:color w:val="auto"/>
                <w:sz w:val="20"/>
                <w:highlight w:val="none"/>
              </w:rPr>
              <w:t xml:space="preserve">地图可视化展示系统是将立体化防控数据、周边实际地形数据、各类环境监测方案，结合地理信息系统和可视化技术，最终将现场安全生产、环境态势数据等呈现到园区可视化展示系统中来，达到为各类生产活动的日常监管、事故指挥及宏观态势观察提供基础可视化数据和决策依据的目的。</w:t>
            </w:r>
            <w:r/>
          </w:p>
          <w:p>
            <w:pPr>
              <w:jc w:val="left"/>
              <w:rPr>
                <w:color w:val="auto"/>
                <w:highlight w:val="none"/>
              </w:rPr>
            </w:pPr>
            <w:r>
              <w:rPr>
                <w:rFonts w:ascii="宋体;SimSun" w:hAnsi="宋体;SimSun" w:eastAsia="宋体;SimSun" w:cs="宋体;SimSun"/>
                <w:color w:val="auto"/>
                <w:sz w:val="20"/>
                <w:szCs w:val="20"/>
                <w:highlight w:val="none"/>
              </w:rPr>
              <w:t xml:space="preserve">通过初始化基础配置对地图模块初始加载属性进行管理配置，主要管理地图加载窗口相机的预设中心点、偏转角、相机高度、地图缩放层级、关联的瓦片集、模型、图像图层整体渲染加载配置等属性；</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通过初始化业务配置管理不同主题下业务数据关联关系，如图例图示实例、地图主题下功能工具的功能性组件工具、主题对应业务的图表组件等。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园区倾斜摄影</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对园区进行倾斜摄影建模，预估9.8平方公里。</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地形地貌建模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构建园区地形、道路、绿化、河流等基础环境模型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统计分析图层</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用于对各类数据进行图层可视化展示与分析，支持数据统计、图层渲染，核心是直观呈现数据规律，辅助决策。</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综合概况主题图</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对园区基本信息、企业信息进行统计分析，直观展示园区、企业的运行状态。</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智慧安监主题图</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以感知数据为支撑，将园区安全生产相关主要数据的统计结果以图表分析的形式在园区数据大脑中进行展示，统计的内容包括企业、人员、隐患排查、特殊作业、监测监控等业务数据内容，按照时间，结合饼图、柱状图的形式对结果数据进行分析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环境管理主题图</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主要功能涵盖大气环境监测、水环境监测、废水排口运行监测与智能预警、废气排口运行监测与智能预警、达标率统计与智能评估等方面的内容，并应用地理信息技术对分析结果进行多维度展示。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敏捷应急主题图</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应急管理主题通过园区的应急力量、避难场所、应急预案、医疗队伍、视频监控、报警事件、企业值班和应急物资等信息的统计分析，让管委会领导直观了解各类应急信息的管理情况，同时辅助应急处置过程中对重要信息的获取。</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封闭管理主题图</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封闭园区管理主题对危化品车辆和人员进出的精准化监测管理数据统计与分析。帮助园区管理者实时掌握园区人流和车辆的总体情况。对于敏感目标的实时监控，对于园区的基础数据的综合处理，实现封闭管理静动态数据的实时掌握和全面覆盖，杜绝“信息孤岛”现象的发生。</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产业服务主题图</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用于展示产业相关主题信息，支持主题分类、信息呈现，核心是清晰呈现产业服务相关内容，便捷查询使用。</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2、安全生产管理系统</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安全基础管理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安全基础概况</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快速查看园区安全基础概况，包含园区内企业概况信息、园区企业类型统计、园区安全监管人员/制度统计、园区重大危险源统计、重点监管高危工艺统计、重点监管危险化学品统计、园区禁限控统计、装置开停车及大检修趋势分析、园区第三方单位类型统计以及第三方单位数量统计，支持部分信息的筛选和快速查询。</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园区基础信息管理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园区基本信息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园区基本信息管理，包含园区基础设施信息及扩展信息、园区发展历程、片区信息、主导产业信息、产业布局和园区规划信息，支持对该信息的新增、编辑、删除、查询以及发布。</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企业基本情况</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企业基本信息管理，包含企业基础信息、企业分布信息和企业分布图信息，支持对该信息的新增、编辑、查询。</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企业信息列表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园区内企业信息以列表的形式进行展示，可以根据企业状态、企业类型、企业规模以及企业分类监管类型快速筛选查询。</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园区/企业从业人员</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园区/企业从业人员信息管理，支持对该信息的新增、删除、编辑、查看，可以通过企业名称、人员姓名、人员状态快速筛选查询。</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企业事故事件及统计信息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企业事故事件信息管理，支持对该信息的新增、删除、编辑、查看，可以通过企业名称、事故名称、事故等级和处置状态快速筛选查询。以及事故事件按事故等级、事故来源、事故数量进行统计分析。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一企一档管理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主要包含企业基本信息、标准化信息、安全证书以及许可管理信息、安全生产档案信息、环境保护档案信息、封闭档案和应急档案等信息的管理，以及在线的地图上信息关联。</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装置开停车和大检修</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装置开停车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园区内企业装置设施（含重大危险源）开停车线上备案，备案内容包含但不限于装置开停车方案、时间、应急预案等。支持备案信息新增、编辑、删除、查询、执行完成等操作功能，以及按企业名称、关联设备和负责人进行筛查。支持开停车数据从企业开停车数量、开停车执行状态、企业开停车次数等维度进行统计分析和可视化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装置大检修</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园区内企业装置设施（含重大危险源）大检修线上备案，备案内容包含但不限于装置大检修方案、时间等。支持备案信息新增、编辑、删除、查询、检修完成、检修延期、延期记录查看等操作功能，以及按企业名称、关联设备和大检修负责人进行筛查。支持大检修数据从企业装置大检修数量、大检修完成情况、企业大检修次数等维度进行统计分析和可视化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安全生产行政许可管理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危化品建设项目三同时（安全设施</w:t>
            </w:r>
            <w:r>
              <w:rPr>
                <w:rFonts w:ascii="宋体;SimSun" w:hAnsi="宋体;SimSun" w:eastAsia="宋体;SimSun" w:cs="宋体;SimSun"/>
                <w:color w:val="auto"/>
                <w:sz w:val="20"/>
                <w:szCs w:val="20"/>
                <w:highlight w:val="none"/>
                <w:shd w:val="clear" w:color="auto" w:fill="ffffff"/>
              </w:rPr>
              <w:t xml:space="preserve">同时设计、同时施工、同时投入生产和使用）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危险化学品建设项目“三同时”线上全流程监管功能，支持危险化学品建设项目“三同时”管理流程灵活配置，可以按照设计、施工、试生产等不同阶段进行“三同时”项目新增、编辑、删除、查询管理，以及建设项目按类别、“三同时”阶段等维度统计分析和可视化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危化品安全生产许可证</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实现安全生产许可相关证照材料线上管理，支持新增、删除、编辑、查询危化品安全生产行政许可证，以及按企业名称、证书类型、证书名称进行筛选。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第三方单位管理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建立入园/驻园第三方单位信息库，包括但不限于第三方单位基本信息、资质、安全教育培训记录、服务记录、违规记录等，实现第三方单位诚信管理。支持信息维护、核验，诚信评价规则的在线配置，以及园区企业对有关信息的自主填报。</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执法管理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实现生成执法计划、记录执法内容、执法检查隐患管理、</w:t>
            </w:r>
            <w:r>
              <w:rPr>
                <w:rFonts w:ascii="宋体;SimSun" w:hAnsi="宋体;SimSun" w:eastAsia="宋体;SimSun" w:cs="宋体;SimSun"/>
                <w:color w:val="auto"/>
                <w:sz w:val="20"/>
                <w:szCs w:val="20"/>
                <w:highlight w:val="none"/>
              </w:rPr>
              <w:t xml:space="preserve">执法案例管理等；支持新增、删除、编辑、查看、下发执法计划，可以按照执法单位、执法检查计划类型和执法状态进行执法计划筛选查看；支持执法记录新增、删除、编辑、查看，可以按照被执法单位和是否执法进行筛选查看；支持执法检查隐患新增、删除、编辑、查看，可以下载整改通知书模板并下发整改通知书，并按照所属企业、隐患级别和隐患状态进行筛选查看；支持执法案件新增、删除、编辑、查看，可以按照执法检查编号、被执法单位和执法部门进行筛选查看；支持执法信息从企业被执法次数、执法计划完成情况、执法隐患数量等多维度统计分析和可视化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公用工程信息管理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支持对园区公用工程基本信息的维护与查询，支持新增、删除、编辑、查看公用工程基本信息，包含工程阶段、工程名称、工程类别和设备描述等，可以按工程类别、工程阶段及工程名称进行搜索查看。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设备停用停产备案管理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实现对园区内备案停产的企业进行集中管理，纳入企业管理档案。建设停车备案管理系统模块，主要对企业停产申请、申请材料的申报、审核同意，同时统一后企业可实现备案回执的打印。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2.2</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重大危险源在线监测</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危险源概况</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支持快速查看危险源概况，包含企业监管登记、危化品企业风险预警信息、安全承诺公告、重大危险源统计信息、安全包保履职、企业风险趋势分析和预警事件分析等统计信息。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重大危险源管理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工艺信息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实现重点监管高危工艺的管理，支持新增、删除、编辑、查看高危工艺信息以及关联装置，并且可以实时查看监测信息及视频监控，同时，可以按企业名称、工艺名和是否是重点监管化工工艺进行筛选查看。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监管化学品信息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实现重点监管危险化学品的管理，支持新增、删除、编辑、查看危险化学品信息，可以按企业名称、化学品名称、化学品类型和是否是重点监管危险化学品进行筛选查看。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危化品辨识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实现危险化学品的辨识管理，可以通过按化学品名称和化学品类别两种方式进行辨识管理，支持新增、删除、编辑、查看危险化学品信息，可以按化学品名称、别名进行筛选查看。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危险源信息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危险源的管理，支持新增、删除、编辑、查看危险化学品信息；支持编辑危险源辨识信息，支持查看实时监测信息、风险管控信息、安全包保责任信息以及关联信息；可以按企业名称、危险源名称、和危险源级别进行筛选查看；可以在地图上进行危险源点位标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储罐罐区</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实现储罐信息管理，支持新增、删除、编辑、查看储罐信息，支持绑定关联监测设备及查看实时监测信息，可以按企业名称、储罐名称和储罐类别进行筛选查看；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实现罐区信息管理，支持新增、删除、编辑、查看罐区信息，支持查看储罐信息和实时监测信息，可以按企业名称、储罐区名称和储罐区编号进行筛选查看；可以在地图上进行库区点位标记。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库房库区</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实现仓库信息管理，支持新增、删除、编辑、查看仓库信息及查看关联区域信息，支持绑定关联监测设备及查看实时监测信息，可以按企业名称、仓库名称和仓库类别进行筛选查看；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实现库区信息管理，支持新增、删除、编辑、查看库区信息，支持查看仓库信息和实时监测信息，可以按企业名称、仓库区名称和仓库区编号进行筛选查看；可以在地图上进行库区点位标记。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装置单元</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实现生产装置信息管理，支持新增、删除、编辑、查看生产装置信息及查看关联区域信息，支持绑定关联监测设备及查看实时监测信息，可以按企业名称、生产装置名称进行筛选查看；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实现生产区域信息管理，支持新增、删除、编辑、查看生产区域信息，支持查看生产装置信息和实时监测信息，可以按企业名称、生产区域名称和生产区域编号进行筛选查看；可以在地图上进行生产区域点位标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装卸区信息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实现装卸区信息管理，支持新增、删除、编辑、查看装卸区信息，支持绑定、停用关联监测设备及查看实时监测信息，可以按企业名称、装卸台名称和站台类型进行筛选查看；可以在地图上进行装卸区点位标记。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气体泄漏点</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实现气体泄漏点信息管理，支持新增、删除、编辑、查看气体泄漏点信息，支持绑定关联监测设备及查看实时监测信息，可以按泄漏点名称、泄漏类型进行筛选查看；可以在地图上进行泄漏点点位标记。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危废信息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实现危废品信息管理，支持新增、删除、编辑、查看危废品信息，可以按所属企业、危废品名称、存储方式和危废品类别进行筛选查看。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危险源包保责任落实监督</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包保责任履职清单记录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重大危险源安全包保履职记录电子化、条目化，管理企业每一处重大危险源包保责任落实情况，支持重大危险源主要负责人、技术负责人和操作负责人信息维护，三级包保责任人安全包保履职情况记录检查，以及信息查询、多维度统计分析功能。</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在线监测预警</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重大危险源在线看板</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系统通过标准工业通讯协议（如OPC UA、Modbus TCP）对接企业现有DCS/PLC系统，并遵循应急管理部数据接入规范（TCP Socket+JSON格式），实现重大危险源监测监控数据的自动采集与标准化汇聚，支持现有重大危险源监测监控数据，查看储罐、装置、危险化学品库等处的液位、温度、压力和可燃有毒气体浓度的实时监测数据、报警数据，查询历史数据、视频监控数据和对比分析；可以按所属企业、重大危险源名称和危险源类型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中控室在线监控</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汇聚园区/企业中控室的监控画面信息，支持监控预览和按相机编码、相机名称进行筛选查看。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危险源报警事件</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汇聚危险源报警事件，查看报警事件流程名称、事件类型、流程标签、开始时间、结束时间和事件进展等信息，可以按照流程名称、事件类型、流程标签、开始时间、结束时间进行搜索查看。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重大危险源在线监测抽查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实现对重大危险源安全在线抽查，包含抽查人员配置、抽查配置、配置项展示、配置完成等流程，可根据抽查需求自由配置；可以按照抽查时间进行筛选。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抽检人员还可将抽检结果下发至企业进行确认，可以通过检查下发记录对下发的历史检查进行查看。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重大风险管控</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风险评估模型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基于风险预警模型，通过多维度的综合分析，模型能够自动生成风险预警结果，并划分为重大风险（红色预警）、较大风险（橙色预警）、一般风险（黄色预警）及低风险（蓝色预警）四个级别。</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风险实时评估</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基于风险评估模型，实现重大危险源安全风险的实时评估分析和展示，分析内容包含企业当前风险、重大危险源列表信息和风险构成信息。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预警记录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当企业达到一般风险、较大风险、重大风险时则会相应触发黄色预警、橙色预警、红色预警，系统向相关人员进行消息推送，自动生成并记录风险预警事件，包括责任企业、预警开始时间以及详细的业务报警流程。支持查看风险预警的触发、升级、降级以及最终消除的全过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系统可以在企业规定时间内未采取有效措施消警，自动向企业及园区相关人员发送警示通报，提醒其关注并介入处理；支持预警消除后，企业上传原因反馈。</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评估报告及隐患管理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评价/评估报告</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汇聚重大危险源的安全评价报告、SIL 等级评估报告和重大危险源专项督导检查问题隐患相关数据，实现重大危险源的安全评价报告电子化备案、查阅，可以按照企业名称和报告类别进行筛选查看；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支持按企业数量和按危险源数量等维度对相关评价/评估报告进行统计分析，可以按照企业名称进行筛选查看。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三录入-检查任务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检查任务、检查项、评分细则信息和企业状态的展示。部级系统会按照工作安排定期下发专项检查相关数据，包括检查任务表、检查任务企业表、检查项表、检查项评分细则表数据，再由园区平台下发到园区内危险化学品企业安全风险智能化管控平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隐患信息三录入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构建企业自查、市级交叉检查以及部省抽查三层次的隐患录入体系，实现隐患信息三录入管理，支持新增、删除、编辑查看专项检查隐患信息，可以按照所属企业、任务名称、隐患名称、检查类型和检查时间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重大危险源分类监管</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企业分类监管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通过贯通安全承诺公告、实时监测数据、安全包保责任人履职、“三录入”、评价/评估报告，构建危险化学品重大危险源企业安全管理现状综合评价体系，分为特别管控、重点关注和一般监管三类，实现对危险化学品重大危险源企业分类精准监管。</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安全承诺公告</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实现对今日/全部安全承诺公告的管理，支持新增、删除、编辑以及按企业名称和风险等级进行筛选查看，可以查看当日不同风险等级企业数量情况以及当日是否做出安全承诺企业数量情况。</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2.3</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双重预防机制管理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双重预防概况</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支持快速查看双重预防概况，包含双重预防运行机制效果、风险管控分级、隐患排查数量统计、隐患排查治理统计、区域风险统计和装置停用/检维修统计等。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企业双重预防机制信息系统对接</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风险分析对象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实现风险分析对象（如装置、管线、罐区等）管理，支持新增、删除、编辑、查看风险分析对象信息，并且能够进行区域关联；可以按照所属企业、风险分析对象名称和风险等级进行筛选查看。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风险分析单元</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风险分析单元（如裂解炉区、压缩机组等）管理，支持新增、删除、编辑、查看风险单元信息，支持一键启停风险单元，可以直接查看所属风险分析对象；可以按照所属企业、所属风险分析对象、风险单元名称和状态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安全风险事件</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实现安全风险事件管理，支持新增、删除、编辑、查看安全风险事件信息，可以直接查看所属风险分析对象和所属风险分析单元；可以按照所属企业、所属风险分析单元、风险事件名称进行筛选查看。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风险管控措施</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风险管控措施管理，支持新增、删除、编辑、查看风险管控措施信息，可以直接查看所属风险分析对象、所属风险分析单元和所属安全风险事件；可以按照所属企业、所属风险分析对象、所属风险分析单元、风险事件名称和管控措施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隐患排查任务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根据发现的隐患实现隐患排查任务生成管理，支持新增、删除、编辑、查看隐患排查任务，可以按照所属企业、风险管控措施、隐患排查内容和任务类型进行筛选查看。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隐患排查记录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实现隐患排查记录电子化记录，根据生成的隐患排查任务进行闭环排查治理，将隐患排查治理记录进行登记，可以新增、删除、编辑、查看隐患排查记录。</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隐患治理信息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对于隐患治理信息的管理，可以分重大隐患和所有隐患进行查看，支持新增、删除、编辑、查看隐患治理信息，支持下载整改通知书模板并下发隐患整改通知书，可以按所属企业、隐患名称、隐患类别和隐患类型进行筛选查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园区对于企业重大危险源隐患，可以通过下发安全督导进行隐患治理，支持新增、删除、编辑、查看安全督导信息，可以按所属企业、重大危险源名称、督导结果、督导日期进行筛选查看；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对于超期未完成隐患治理的企业进行超期报警并记录，可以按所属企业、隐患名称和时间进行筛选查看。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包保责任履职清单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隐患排查任务类型为包保责任人任务的隐患治理记录，将相关包保责任人的履职情况进行记录，可以根据所属企业、任务类型和排查时间进行筛选查看。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装置停用/检维修记录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对于风险分析对象进行的停用/检维修做历史记录，可以查看、删除相关记录，支持按照所属企业进行筛选查看。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风险四色图管理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实现风险四色图管理，支持新增、删除、编辑、查看风险四色图，可以按照所属企业、风险图名称和风险图类型进行筛选查看。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隐患整改情况督办提醒</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隐患治理统计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支持按照不同企业、不同隐患等级等维度的隐患治理统计，可以直观了解确定时间范围内，隐患总数、重大隐患数、一般隐患数量、未整改隐患数量、已整改隐患数量、整改率等统计信息；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支持隐患治理统计分析的可视化展示，可以快速查看不同等级隐患、不同时间等维度的隐患数量的环同比分析展示。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隐患报警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一般隐患超期警示管理，可以快速查看隐患报警的详细信息，包含流程名称、事件类型、流程标签、开始时间、结束时间、事件进展，以及对报警做跟踪处置，支持按照流程名称、事件类型、流程标签和报警时间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企业双重预防机制建设及运行效果抽查检查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实现对企业双重预防机制建设及运行效果在线抽查，包含抽查人员配置、抽查配置、配置项展示、配置完成等流程，可根据抽查需求自由配置；可以按照抽查时间进行筛选。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抽检人员可以查看运行效果分析、风险分析情况、风险管控信息、隐患排查记录、隐患治理信息，并且对抽查结果进行评价，还可将抽检结果下发至企业进行确认，可以通过检查下发记录对下发的历史检查进行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统计分析、趋势分析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园区内企业双重预防机制运行效果线上线下相融合的监督检查，支持对单个企业风险分析完成率、排查任务完成率及隐患整改完成率的信息查询，支持数据接入率的查询，对企业双重预防机制运行效果、隐患预警情况自动统计分析、原因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2.4</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特殊作业监管</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企业特殊作业报备管理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实现企业特殊作业报备，报备数据包括但不限于作业属地单位、作业类型、作业内容、作业时间等，支持报备信息的维护、查询，可以按照企业名称、作业名称等进行筛选查看。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特殊作业在线抽查检查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实现在线抽查检查企业的特殊作业情况，支持新增、删除抽查检查，以及按照“优秀、良好、一般、不合格”对抽检特殊作业进行评价，可以按照企业名称和作业类型进行筛选查看。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作业票信息管理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动火作业</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实现对于动火作业前、作业中和作业后的作业票信息记录及查看，可以按照企业名称和动火级别进行筛选查看。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吊装作业</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实现对于吊装作业前、作业中和作业后的作业票信息记录及查看，可以按照企业名称和作业级别进行筛选查看。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盲板抽堵作业</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实现对于盲板抽堵作业前、作业中和作业后的作业票信息记录及查看，可以按照企业名称和作业类别进行筛选查看。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断路作业</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实现对于断路作业前、作业中和作业后的作业票信息记录及查看，可以按照企业名称进行筛选查看。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高处作业</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实现对于高处作业前、作业中和作业后的作业票信息记录及查看，可以按照企业名称和作业级别进行筛选查看。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临时用电作业</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实现对于临时用电作业前、作业中和作业后的作业票信息记录及查看，可以按照企业名称和作业级别进行筛选查看。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动土作业</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实现对于动土作业前、作业中和作业后的作业票信息记录及查看，可以按照企业名称进行筛选查看。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受限空间作业</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实现对于受限空间作业前、作业中和作业后的作业票信息记录及查看，可以按照企业名称进行筛选查看。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特殊作业票证统计分析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与园区内企业电子作业许可系统的结构化数据对接，支持园区内特殊作业按不同企业、不同时间、不同作业类型等多维度进行统计分析。数据对接要求：《江苏省化工（危化品）企业“五位一体”平台特殊作业数据对接标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2.5</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企业平台对接</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双重预防机制数据对接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实现企业风险分级管控、隐患排查治理数据与园区平台实时同步，支撑园区统一监管。</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特殊作业系统数据对接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对接企业八大特殊作业全流程信息，实现作业票证、过程、状态实时上报与监管。</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人员定位系统及人员聚集风险数据对接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同步企业人员定位、轨迹及人员聚集预警数据，提升园区人员安全动态管控能力。</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3、敏捷应急系统</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应急值守管理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应急机构</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所属企业、机构名称、负责人进行搜索，可查看所属企业、机构名称、负责人、联系电话、机构地址、机构职责以及应急机构详情等信息。可对应急机构信息进行新增、编辑、删除操作。可添加地图点位，实行应急机构的可视化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应急队伍</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可通过机构列表、队伍名称、队伍分类搜索应急队伍，可查看队伍名称、队伍分类、队伍性质、负责人、联系电话、队伍人数、审核状态等信息。可对应急队伍进行新增、删除、审核、评估等操作。可查看队伍成员列表的姓名、性别、联系电话、职务、职责、备注等信息，可对应急队伍成员列表进行新增、删除操作。可通过机构列表、预案名称、预案类型、预案级别搜索应急预案，可查看预案名称、预案类型、预案级别、灾害种类、编制单位等信息。可对应急队伍进行新增、删除等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应急通讯录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可通过应急机构列表进行筛选，可查看企业应急通讯录的基础信息、机构成员的姓名、联系方式、职务、职责等信息。可对机构成员进行新增、删除等操作。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值班计划</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可通过值班机构列表进行搜索，可查看机构白班、晚班的值守人员、电话信息，可新增时间段的排班，可新增、修改、删除值守人员信息。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值守简报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可通过简报人进行搜索，可查看机构名称、简报类型、简报人、联系电话、简报内容、创建时间等信息，可新增、修改、删除值守简报信息。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值班统计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可通过机构名称进行搜索，可查看机构名称、负责人、联系电话、当天值班人员、统计时间等值守统计信息。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3.2</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应急资源管理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应急专家</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可通过应急专家类型、专家姓名、业务领域进行搜索，可查看专家姓名、专家性别、联系方式、专业、职称、业务领域、审核状态等信息，可对应急专家进行新增、删除、审核、动态评估等操作。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仓库管理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仓库名称、仓库分类、负责人进行搜索，可查看所属单位、仓库名称、仓库分类、负责人、联系电话、仓库面积、仓库地址及应急仓库的详情信息，可对应急仓库进行新增、修改、删除操作，可添加相应地图点位，实现地图可视化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应急物资</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应急物资类别、所属仓库、物资名称进行搜索。可查看所属仓库、物资名称、物资数量、用途、存储和运输要求、存放位置、有效期、检查日期、下次检查日期、审核状态及应急物资详情等信息。可对应急物资进行新增、编辑、删除、审核、动态评估等操作，可查看物资的检查记录。</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应急装备</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可通过应急装备类别、所属仓库、装备名称进行搜索。可查看所属仓库、装备名称、装备数量、用途、存储和运输要求、存放位置、有效期、检查日期、下次检查日期、审核状态及应急装备详情等信息。可对应急装备进行新增、编辑、删除、审核、动态评估等操作，可查看装备的检查记录。</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避难场所</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避难场所名称、避难场所级别进行搜索。可查看避难场所名称、避难场所级别、有效避难面积、负责人、负责人电话、场所地址等信息，可对避难场所进行新增、编辑、删除等操作，可添加相应地图点位，实现地图可视化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救援场所</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可通过场所名称、负责人、联系电话进行搜索。可查看救援场所名称、负责人、负责人电话、值班电话、场所地址、急救车辆数、病床数及救援场所详情等信息，可对救援场所进行新增、编辑、删除等操作。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3.3</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应急预案管理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预案录入管理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支持突发事件总体应急预案、专项应急预案、部门预案、上级部门应急预案的分类管理，包括对预案的添加、修改、删除、评审、公布等基础维护管理功能。</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预案归档管理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收录各行业总体预案、部门预案、专项预案等，实现对应急预案的电子化管理。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预案查询管理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系统支持按照涉及行业、预案类别、预案名称、编制单位、适用范围等综合查询条件对预案进行查询、浏览、统计，并能够将查询结果以饼图、柱状图、统计报表等方式进行展示。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案统计分析功能旨在通过预案数据汇总、事件关联分析、预案效能评估、应急演练成效记录以及预案改进建议等手段，深入分析应急预案的实际应用情况。系统将帮助园区管理部门评估预案的实际效果，识别优势预案并提供改进建议，生成趋势分析报告以指导长期预案优化，从而提升园区应对紧急情况的整体能力和管理水平。</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预案库</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可通过应急预案列表、预案名称、预案类型、预案等级进行搜索。可查看预案名称、预案类型、预案等级、灾害种类、评审状态等信息。可对应急预案进行新增、删除、发布、评审等操作。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知识库</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可通过知识库名称进行搜索，可查看知识库名称、主题、备注、添加时间及知识库详情信息，可对知识库进行新增、删除等操作。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3.4</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应急演练管理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演练计划管理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演练计划管理是模拟演练系统的关键功能，包括分组设定、人员配置、演练流程配置和模拟演练计划管理四个环节。</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演练过程记录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模拟突发事件的触发，记录演练过程中的相关信息。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效果评估管理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模拟演练效果评估是通过演练过程，对演练效率、效果进行评估，形成评估报告。</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3.5</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应急指挥调度</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应急车辆出动管理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实时管控应急车辆状态、位置，接收指令后匹配最优车辆及路线，下达出动指令并跟踪轨迹，保障快速调度。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接处警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快速接收各类应急报警，精准记录警情信息，及时分派处置任务，跟踪处置进度，实现接警处置闭环。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上报续报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支持应急事件信息快速上报，后续可补充事件进展、处置情况，确保信息传递及时、完整。</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启动响应</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根据警情等级，一键启动对应等级应急响应，同步推送响应指令及相关信息至各处置岗位。</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一键调度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发生紧急突发事件时，系统启动全流程自动化调度，严格遵循「就近优先、专业匹配、全员联动」原则，自动完成应急人员智能筛选、极速通知、现场编组分工；同步联动应急车辆资源，智能匹配适配车型、规划最优通行路线并实施全程轨迹追踪监管；同时对应急物资实行自动化闭环管控，通过智能匹配物资品类与用量、自动出库登记、精准配送投送、实时库存核销，全方位保障应急物资快速到位、精准适配现场处置需求。</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3.6</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应急辅助决策</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人员统计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1、二道门统计：可通过关联事件进行搜索，可查看统计名称、统计时间、人数、关联事件等信息，可对二道门统计进行新增、编辑、删除等操作。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2、人员定位统计：可通过关联事件进行搜索，可查看统计名称、统计时间、人数、关联事件等信息，可对人员定位统计进行新增、编辑、删除等操作。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车辆统计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可通过关联事件进行搜索，可查看统计名称、统计时间、关联事件等信息，可对车辆统计进行新增、编辑、删除等操作。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研判分析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围绕事故灾难发展态势，应实现对事故灾难的后果模拟分析，支持调用现场视频、实时气象信息、气体浓度、人员定位系统数据和后果模拟分析（含火灾、爆炸和泄漏扩散模型，多米诺效应及次生衍生灾害分析模型等），生成应急处置方案，并提出风险防护、应急处置等决策建议，为高效化、专业化救援提供决策支持。</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应实现线上会商研判和资源优化调配，能够推荐救援方案，实现救援队伍、应急物资、应急救援专家的精准调度。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4、封闭园区系统</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封闭化基础信息管理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封闭配置项</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在该页面，可对封闭化不同配置项进行勾选。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1、运单显示种类：用户可以选择在运单中显示的车辆类型，包括社会车辆、外来人员、危化品车辆、危废车辆、普货车辆、工程车辆、园区车辆、园区员工车辆、企业车辆、企业员工车辆和其他类型。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2、运单定位：用户可以设置运单是否绑定定位设备。同时，可以指定运单是否需要绑定特定类型的车辆，如危化品车辆或危废车辆。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流程配置：用户可以为不同类型的车辆配置审批流程，包括企业审核和园区审批。具体配置如下：社会车辆、外来人员、普货车辆、工程车辆、园区车辆、企业车辆、企业员工车辆和其他类型的车辆可以选择是否需要企业审核或园区审批。危化品车辆和危废车辆默认需要企业审核和园区审批。</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4、停车场：可勾选是否配置车辆安全检查表。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这个界面允许用户根据实际的物流管理需求，灵活地配置运单的显示内容、定位要求以及审批流程，以确保运输过程的安全性和合规性。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企业基础信息管理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color w:val="auto"/>
                <w:highlight w:val="none"/>
              </w:rPr>
              <w:t xml:space="preserve">1、生产危化品名录：可通过化学品名称、企业目录查看生产危化品名录。对生产危化品可进行新增、修改、删除操作。</w:t>
            </w:r>
            <w:r>
              <w:rPr>
                <w:color w:val="auto"/>
                <w:highlight w:val="none"/>
              </w:rPr>
              <w:br/>
            </w:r>
            <w:r>
              <w:rPr>
                <w:color w:val="auto"/>
                <w:highlight w:val="none"/>
              </w:rPr>
              <w:t xml:space="preserve">2、使用危化品名录：可通过化学品名称、企业目录查看使用危化品名录。对使用危化品可进行新增、修改、删除操作。</w:t>
            </w:r>
            <w:r>
              <w:rPr>
                <w:color w:val="auto"/>
                <w:highlight w:val="none"/>
              </w:rPr>
              <w:br/>
            </w:r>
            <w:r>
              <w:rPr>
                <w:color w:val="auto"/>
                <w:highlight w:val="none"/>
              </w:rPr>
              <w:t xml:space="preserve">3、产生危废名录：可通过危废名称、企业目录查看产生危废名录。对产生危废可进行新增、修改、删除操作。</w:t>
            </w:r>
            <w:r>
              <w:rPr>
                <w:color w:val="auto"/>
                <w:highlight w:val="none"/>
              </w:rPr>
              <w:br/>
            </w:r>
            <w:r>
              <w:rPr>
                <w:color w:val="auto"/>
                <w:highlight w:val="none"/>
              </w:rPr>
              <w:t xml:space="preserve">4、处置危废名录：可通过危废名称、企业目录查看处置危废名录。对处置危废可进行新增、修改、删除操作。</w:t>
            </w:r>
            <w:r>
              <w:rPr>
                <w:color w:val="auto"/>
                <w:highlight w:val="none"/>
              </w:rPr>
              <w:br/>
            </w:r>
            <w:r>
              <w:rPr>
                <w:color w:val="auto"/>
                <w:highlight w:val="none"/>
              </w:rPr>
              <w:t xml:space="preserve">5、企业生产区：可通过企业目录查看企业生产区信息。对企业生产区可进行新增、修改、删除操作。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第三方运输企业</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在该页面，可通过企业目录、运输企业名称、联系人进行搜索查看操作。可查看第三方运输企业名称、企业编码、联系人、联系人电话、状态，可对第三方运输企业信息进行新增、修改、删除操作。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封闭分级管控</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1、道路管理：可通过路段名称、路段状态进行搜索。可查看路段名称、路段长度、点位高度、路段状态，可对道路信息进行新增、修改、删除操作。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2、路线规划：可通过路线名称、路线状态进行搜索。可查看路线名称、通行车辆类型、路线状态，可对路线规划进行新增、修改、删除操作。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3、风险因素管理：可通过风险分类、风险标题进行搜索。可查看风险分类、风险标题、风险内容，可对风险因素管理进行新增、修改、删除操作。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4、电子围栏：可通过围栏名称进行搜索。可查看围栏名称、围栏面积(m²)、风险因素、管控措施，可对电子围栏进行新增、修改、删除操作。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5、控制区管理：可通过区域名称进行搜索。可查看区域名称、负责人、负责人部门、负责人电话、控制区等级、管控措施，可对控制区管理进行新增、修改、删除操作，可添加控制区地图点位。</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移动风险管理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对出入园区的人员和车辆实现总量控制功能，结合技术手段，实现对园区内通行的路线、路段、时限进行管控，确保安全通行。对于超出总量阈值能自行实现卡口临时关闭功能。</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4.2</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门禁/卡口管理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门禁/卡口管理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1、卡口管理：可切换动作类卡口、检测类卡口进行搜索，并添加地图点位。可切换车辆卡口、人行卡口，通过卡口名称进行搜索，可查看卡口名称、卡口分类信息，对卡口列表进行新增、修改、删除操作。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2、车辆通行记录：可通过卡口目录、车牌号进行搜索。可查看设备编码、车牌号码、出入口、通行类型、车辆类型、通行时间、通行抓拍等信息。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3、人员通行记录：可通过人脸识别设备、姓名进行搜索。可查看设备编码、人员编码、姓名、人员类型、组织、卡号、通行类型、事件类型、通行时间、通行抓拍等信息。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定位设备管理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可通过设备编号、设备IMEI进行搜索。可查看设备编号、设备IMEI、所属卡口、设备状态、设备电量、是否使用，可对GPS设备进行新增、修改、删除操作。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4.3</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出入园管理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出入园申请、审核、授权管理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支持车辆、人员出入园申请、审核、长期/临时授权，支持危险化学品运输车辆预约、审核、授权，支持分区授权、异常行为报警和黑名单管理，支持车流统计等。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异常行为报警</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区域入侵报警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可通过设备名称、状态进行搜索，可查看区域入侵报警的设备名称、设备区域、报警类型、事件状态、报警时间、图片查看、处理状态等信息。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滞留报警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可通过申请企业、承运企业、承运车辆进行搜索，可查看滞留报警的运单编号、实际入园时间、申请企业、承运企业、承运车辆、运输物资、执法仪号码等信息。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超速报警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可通过车牌号、卡口名称、状态进行搜索，可查看超速报警的卡口名称、车牌号、违法类型、速度、超速阈值、报警时间、图片查看、处理状态等信息。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黑白名单管理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记录所有被列入黑名单的人员、车辆及其进出园区的记录，包括车辆进入时间、离开时间、出入口、离开口岸等信息。通过该功能可以方便管理人员对黑名单车辆进行监控和管理。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统计分析管理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旨在通过记录和分析出入园的数据，为园区管理部门提供实时的人员和车辆流动情况。该功能允许用户查看进出园人员和车辆的数量、时间分布、频次等统计信息，同时生成报表和图表展示数据趋势。</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4.4</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color w:val="auto"/>
                <w:highlight w:val="none"/>
              </w:rPr>
            </w:pPr>
            <w:r>
              <w:rPr>
                <w:rFonts w:ascii="宋体;SimSun" w:hAnsi="宋体;SimSun" w:eastAsia="宋体;SimSun" w:cs="宋体;SimSun"/>
                <w:color w:val="auto"/>
                <w:sz w:val="20"/>
                <w:szCs w:val="20"/>
                <w:highlight w:val="none"/>
              </w:rPr>
              <w:t xml:space="preserve">危险化学品运输路径规划、定位和追踪</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危化品运输车辆道路规划</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基于园区企业布局、道路及卡口分布、人流轨迹、运输物料、专用停车场等信息，在线规划危险化学品车辆园区内行驶路径、专用车道、通行时段等，并结合危险化学品车辆行驶分布信息，不断优化相关行驶路径规划。</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危化品运输车辆定位、轨迹跟踪</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支持实时位置查询、轨迹回放、车辆运行数据统计等功能。</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4.5</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人员分布管理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人员分布动态</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接入企业人员定位系统，在平台地图上动态呈现园区内人员整体分布情况，支持按区域筛选查看。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实时位置</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对接定位系统，实时获取单个或多个人员具体位置，同步显示人员基础信息，支持快速定位查询。</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历史轨迹</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依托定位系统，留存人员移动历史轨迹，支持按人员、时间段查询，实现轨迹可追溯。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异常报警提示</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对接定位系统，监测人员异常状态，包含人员越界闯入报警、越界离岗 / 脱岗报警、高危区域滞留超时报警、区域超员报警、终端离线报警，触发异常时平台弹出报警提示，通知管理人员及时处置。</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汇总定位系统数据，对人员分布、流动情况进行简单统计分析，生成基础统计结果，支持数据导出。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4.6</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应急处置</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应急卡口一键开启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支持突发事件发生，一键开启应急卡口。</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信息发布管理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可通过发布人进行搜索。可查看信息标题、发布人、发布内容、发布时间，可对信息发布进行新增、修改、删除操作，可进行模板编辑，对信息发布模板进行新增、修改、删除操作。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4.7</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物流基础信息及运单管理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人员资质管理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危险化学品运输车辆资质核验、人员信息线上录入；</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超期预警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人员资格证明超期、超限预警报警。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运单管理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运单在线申请、审核、批准，接入企业物流信息数据。</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权限管理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运单申请审批通过后权限自动下发；</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运单统计分析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汇总所有运单相关数据，实现运单全流程数据统计与简单分析。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运输合法性识别</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识别危险化学品和危险废物运输合法合规性，不合规自动报警。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5、危化品停车场管理系统</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危化品停车场管理系统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预约申请功能</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为进入园区危化品停车场的车辆提供线上预约通道，支持车辆信息（车牌号、车型、危化品类别/品名、载重量）、预约时段、停放时长等信息提交，系统自动校验预约信息合规性，审核通过后生成预约凭证。</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称重检测功能</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自动称重比对合规标准，识别超载异常并预警，防范安全隐患。</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安全检查功能</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检查车辆、危化品及相关人员，排查隐患，保障停放安全。</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调度引导功能</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智能调度车位，引导车辆有序停放、高效离场，避免拥堵。</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报警及预警监控功能</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实时监控停车场状态，异常情况自动报警、提前预警，及时处置。</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统计分析功能</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统计车流、停放时长等数据，分析规律，为管理决策提供支撑。</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信息发布功能</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发布停车场空位、预警、通知等信息，方便车主及管理人员查看。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6、能碳管理系统</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能源管理系统</w:t>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企业能耗定额配置</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企业能耗定额制定</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对园区企业的电力、蒸汽、水、天然气等能耗进行定性定额配置。</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企业能耗定额的更新</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定期迭代更新企业的电力、蒸汽、水、天然气等能耗的定额配置。</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能耗监测管理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蒸汽数据管理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提供实时监测和定期手动填报两种形式，实现园区月度蒸汽环比分析数据及园区每天消耗数据等展示。对蒸汽消耗的详细数据进行展示，并进行使用量排行分析。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电力数据管理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提供实时监测和定期手动填报两种形式，实现园区电力月度消耗数据、企业电力消耗数据、电力环比增幅等数据展示。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天然气数据管理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提供实时监测和定期手动填报两种形式，实现园区天然气月度消耗数据、企业天然气消耗数据、企业天然气环比增幅等数据展示。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用水数据管理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提供实时监测和定期手动填报两种形式，实现园区用水月度消耗数据、企业用水消耗数据、企业用水环比增幅等数据展示。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其他能源数据管理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提供实时监测和定期手动填报两种形式，实现企业其他能源（原煤（烟煤）、焦炭、氢气、汽油、柴油、生物质能（生物颗粒）、其他燃料（甲醇）等）月度消耗数据、企业其他能源使用环比增幅等数据展示。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能耗预报警管理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企业节能计划预报警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根据能耗监测系统的监测数据，对能耗单位预先设定的能效对标及节能降耗等工作的进展进行监测和评估，对于即将超节点的工作进行预警，对于超节点或者指标未达标的工作进行报警。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企业用能超标预警报警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根据能耗监测系统的监测数据，对企业能耗即将超过能耗配额的情况进行预警，对已超过定额，或者能耗剧烈变化的情况进行报警。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预警监测管理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系统提供预警报警监测管理功能，系统以列表的形式集中展示当前发生的预警报警事件，包括节能进展预警报警、企业用能超标预警报警和监测设备掉线报警。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历史数据管理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系统对已发生的预警报警进行历史数据归档管理功能，对预警报警事件发生的时间、来源、原因、报警级别等信息进行记录。</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预报警信息推送</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当预警或报警事件被触发时，系统向园区相关管理人员或者用能单位管理人员发送系统内消息。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能源系数管理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工业产值指数管理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对园区企业的工业产值指数进行统一管理，企业以每月的形式录入产值。</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工业产品能耗指数管理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对园区企业的产品单位能耗情况进行统一管理，企业每年更新一次，提交审核备案。</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标煤折算系数管理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对标煤折算系数进行统一管理，实现将所有企业的能耗数据折换成标煤进行统一对比。</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企业月度产品申报管理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企业月度产品能耗相关信息的申报流程，实现产品产量、能耗数据的及时上报、审核与归档。</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节能分析管理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行业类别能耗统计分析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系统支持对园区企业所属不同的行业，统计分析各行业用电、用水、蒸汽、天然气的能耗总量汇总分析。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综合能耗统计分析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通过设定园区/企业的标准，实现各个企业能源统计数据与标杆企业之间的对比分析，方便管理者迅速分析判断能耗变化趋势及原因，挖掘节能潜力，找到能源管理的关键所在。</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各能耗消耗排行统计分析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系统实现汇总分析，实现按日、月对各企业的各类能耗情况进行统计，并按照消耗进行排名。</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各企业标煤数据统计分析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系统实现对企业按日、月、季度对各企业的标煤实施量统计分析，并按照标煤消耗量进行排名。</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单位生产总值统计分析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系统实现对企业按月、季度、年度对企业以标煤的形式，形成单位工业产值统计分析。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单位产品能耗统计分析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系统对企业按月、季度、年度对企业以标煤的形式，形成企业单位产品能耗统计分析。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节能项目管理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国家重点节能低碳技术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系统通过人工手动填报/上传或通过系统采集方式收录《国家重点节能低碳技术目录》，识别适合园区企业类型的节能典型项目。</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节水节能专用设备</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聚焦节水节能专用设备的全生命周期管理，涵盖设备选型、采购、安装、运行、维护及报废等环节，跟踪设备节能效果。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节能措施与计划管理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负责企业节能措施的制定、实施及节能计划的编制、推进与复盘。</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重点能耗设备管理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园区企业的重点能耗设备进行统一管理，企业能耗设备统一分类，建立园区各企业重点能耗设备管理整体框架，实现重点能耗设备台账管理（包括所属单位名称、设备名称、设备类别、用能分类、安装位置、规格型号等信息）、检修管理、缺陷管理、变更管理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计量器具数据管理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主要对企业能源、水资源计量器具进行统一管理，包括计量器具的台账建立、校准、检定、使用及数据采集。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6.2</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碳排放管理</w:t>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碳计划</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填报计划</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制定和管理碳排放数据填报计划，支持新增、修改、删除、查看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填报任务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分配和执行具体填报任务，支持新增、修改、删除、查看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碳排因子配置</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配置碳排放计算因子参数，支持新增、修改、删除、查看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碳排放管理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排放源管理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管理企业碳排放来源信息，支持新增、修改、删除、查看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碳排放排查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开展碳排放数据排查工作，支持新增、修改、删除、查看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智慧能碳可信存证</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能源碳排放数据区块链存证</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企业范围一、三碳排放管理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管理直接排放和其他排放数据，支持查看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企业范围二碳排放管理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管理外购电力和热力碳排放数据，支持新增、修改、删除、查看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自动监测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实时监测站点碳排放数据，包含实时数据、历史数据、站点配置</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碳排放计算模型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建立并配置适用于本项目的碳排放计算模型，明确核算边界、排放因子及活动数据来源。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能耗分析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分析能源消耗情况，包含能源数据和能源分析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碳减排</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企业绿能填报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填报企业绿色能源使用情况，支持新增、修改、删除、查看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减排项目管理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管理碳减排项目信息，支持新增、修改、删除、查看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color w:val="auto"/>
                <w:highlight w:val="none"/>
              </w:rPr>
            </w:pPr>
            <w:r>
              <w:rPr>
                <w:rFonts w:ascii="宋体;SimSun" w:hAnsi="宋体;SimSun" w:eastAsia="宋体;SimSun" w:cs="宋体;SimSun"/>
                <w:color w:val="auto"/>
                <w:sz w:val="20"/>
                <w:szCs w:val="20"/>
                <w:highlight w:val="none"/>
              </w:rPr>
              <w:t xml:space="preserve">碳资产管理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碳配额管理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管理企业碳排放配额，支持新增、修改、删除、查看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CCER资产管理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管理国家核证自愿减排量，支持新增、修改、删除、查看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绿证管理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管理绿色电力证书，支持新增、修改、删除、查看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绿电管理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管理绿色电力消费，支持新增、修改、删除、查看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碳足迹</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碳足迹配置</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配置碳足迹计算规则，支持新增、修改、删除、查看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碳排放足迹</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追踪和管理产品碳足迹，支持新增、修改、删除、查看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碳排放统计</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碳排放趋势</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统计和分析碳排放变化趋势，支持查看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碳排放分析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多维度分析碳排放数据，支持查看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企业碳排驾驶舱</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企业碳排放数据概览</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核心功能为一站式呈现企业年度核心能碳基础数据，支持选定年份快速查询。具体展示维度包括能耗总量、能耗强度、碳排放总量、碳排放强度、单位能耗碳排放等关键指标，同时通过可视化图表（如环形图）拆解电、热、天然气等能源类型的能耗占比及对应碳排放量，清晰呈现企业能碳消耗整体概况。</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企业具体减排措施及成效</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聚焦企业减排实践落地成果，以列表形式清晰展示重点减排项目名称，并同步标注各项目对应的碳减排效果（量化为具体 CO₂e 数值）。通过 “措施 - 成效” 的直接关联，直观体现企业在分布式光伏、余热回收、电机改造、能源综合管理等减排行动中的实际价值。</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企业核心指标动态跟踪</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企业关键能碳指标的全周期趋势监测，支持跨年度对比分析。核心监测指标包括单位能耗碳排放、碳排放总量、碳排放强度、白卡纸碳足迹，通过柱状图可视化呈现各指标的年度变化趋势，为企业能碳管理策略调整提供数据支撑。</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产品碳足迹</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针对企业核心产品，提供碳足迹全流程管理与认证展示功能。核心呈现产品碳足迹核定数值（CO₂e/t），并关联产品碳足迹公共服务平台认证链路，同步展示认证机构、证书等关键信息，实现产品碳足迹的透明化、可追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碳排放报告与认证</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核心承载企业碳排放报告管理与合规认证展示功能。支持查询指定年份碳排放报告，清晰呈现报告提交时间、碳排放核算总量等核心信息；同时展示报告的认证机构、核查声明等合规文件，保障碳排放数据的权威性与合规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碳中和承诺声明</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聚焦企业碳中和目标与行动承诺，明确展示承诺期限、阶段性减排总量目标、绿电消费计划、温室气体全年减排目标比例等核心内容，同时提供 “认购 / 注销”“声明报告” 等功能入口，实现企业碳中和承诺的公开公示与执行跟踪。</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园区碳排驾驶舱</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碳排放数据</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核心实现园区级核心能碳数据的实时汇总与查询，支持选定年份呈现园区能耗总量、园区能耗强度、园区碳排放总量、园区碳强度、单位能耗碳排放等关键指标，同时联动 “碳排放实时监测” 模块，补充日总排放量、直接 / 间接排放量（分能源类型拆解）、日外购电力碳排放量等动态数据，构建园区能碳数据全景视图。</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能耗强度趋势分析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通过多维度图表可视化，实现园区能耗强度相关指标的跨年度趋势分析。可灵活切换园区能耗总量、园区碳强度、园区碳排放量、园区碳排放强度、单位能耗碳排放等监测维度，直观呈现园区能碳强度的变化规律，为园区节能降碳规划提供依据。</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减碳要素</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聚焦园区减碳核心资源与技术的量化统计，通过柱状图展示不同年份绿电（万千瓦时）、绿色氢气（万吨）、CCUS（千吨）、CCER（万吨）等减碳要素的储备 / 应用量，清晰呈现园区减碳能力的建设与发展趋势。</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零碳园区核心指标动态跟踪</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针对零碳园区建设，实现核心绩效指标的跨周期动态监测，覆盖先导区、拓展区、转型区等园区功能分区。重点跟踪单位能耗碳排放、碳排放总量、碳强度三大核心指标在数年的数值变化，量化评估零碳园区建设进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重点企业碳排放</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核心实现园区重点监管企业的能碳数据分级管理，以列表形式批量展示企业名称、能耗量、碳排放量（CO₂e）等核心数据，快速定位园区高能耗、高排放企业，为园区能碳管控、企业精准帮扶提供靶向数据支撑。</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7、环保管理系统</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信息档案管理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园区基本信息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园区基本情况管理模块涵盖园区发展历程、规划执行情况、基础设施建设等，实现历年批复文件和规划文本的上传、查询和显示，同时以地图和图表形式展示产业定位、用地规划等；企业环境档案管理"包括企业注册、环保审批信息，支持电子文件上传、查询，并定期上报环境信息；周边环境信息管理则以地图和图表展示园区周边地理、敏感点、生态保护红线等信息。这些功能共同提供了全面的基本信息档案，支持管理人员更好地了解和维护园区环境。</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企业信息列表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支持列表查看园区内所有企业信息，可以查看、编辑企业基础档案和企业环保档案，并且可以索引企业相关数据；可以按照企业标签、企业类型、企业名称、企业规模、企业状态、行业监管类型进行搜索查看。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企业基础信息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支持新增企业信息，可以上传相关附件和LOGO等。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周边环境</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周边环境信息涵盖工业园区周围敏感点、生态保护红线、自然环境、水系图信息、路网信息等，并应能实现动态更新。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监测因子管理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支持新增、编辑、删除及查看环境监测因子，包含监测因子类型、监测因子名称、监测因子编号、执行标准、标准编号等信息，可以按照监测因子类型和监测因子名称进行搜索查看。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化学品信息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对园区化学品信息进行管理，并进行动态更新维护，确保园区企业生产使用的所有化学物料信息完整全面。</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生态环境分区管控</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支持新增、删除、查看生态保护红线、环境质量底线、资源利用上线和生态环境准入清单等信息。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7.2</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环境质量管理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大气环境监测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支持大气监测站实时监测查询、监测记录查询、手动监测信息查询和监测站点管理。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地表水环境监测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支持地表水监测站实时监测查询、监测记录查询、手动监测信息查询和监测站点管理。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地下水、土壤环境监测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支持地下水、土壤监测站实时监测查询、监测记录查询、手动监测信息查询和监测站点管理。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噪声环境监测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支持噪声监测站实时监测查询、监测记录查询、手动监测信息查询和监测站点管理。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7.3</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污染源监督管理</w:t>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特征污染物</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特征污染物列表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支持对特征污染物列表化管理，可以新增、编辑、查看、删除特征污染物，信息包含污染物类型、特征物名称</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CAS号、是否优控、国家及地方管控物质、环境污染标准物、具备监测方法物质、高毒性物质、难降解物质、挥发性物质、异味物质等，可以按照污染物类型和特征物名称进行搜索查看。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特征污染物企业</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导入、导出特征污染物企业排放信息，信息包含年份、特征物名称、CAS号、是否优控、企业名称、年排放许可、年排放量、单位等，可以进行新增、删除及按照企业名称、特征物名称和统计年份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污染物监测</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废水排口监测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支持废水排口监测记录查看、废水排口实时监测、废水排口手动监测及废水排口管理；废水排口管理支持新增、删除、编辑、查看、关联设备、关联区域。</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雨水排口监测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支持雨水排口监测记录查看、雨水排口实时监测、雨水排口手动监测及雨水排口管理；雨水排口管理支持新增、删除、编辑、查看、关联设备、关联区域。</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废气排口监测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支持废气排口监测记录查看、废气排口实时监测、废气排口手动监测及废气排口管理；废气排口管理支持新增、删除、编辑、查看、关联设备、关联区域。</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园区总量管理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可以进行模板设置，支持新增、删除、编辑、查看园区总量管理模板，模板信息包含考核目标、关联因子、指标值、指标单位和指标描述；支持新增、删除、查看、编辑园区总量信息，可以按照年份进行筛查。</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工况管理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工况设施管理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对工况设施信息的新增、删除、编辑、查看，并且关联区域及绑定设备，设施信息包含设施状态、所属企业、工况设施类型、工况设施名称、工况设施编号、设施位置等，可以按照企业名称、工况设施类型及工况设施名称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工况线管理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对工况线信息的新增、删除、编辑、查看，工况线信息包含工况线状态、所属企业、工况类型、工况线名称、工况线编号、负责人、联系电话等，可以按照企业名称、工况类型及工况线名称进行搜索查看，并且可以添加地图点位。</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工况监测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分类监管工况设施，监测信息包含工况线状态、所属企业、工况类型、工况线名称</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生产设施、治理设施、排放口等，可以按照企业名称、工况类型及工况线名称进行搜索查看。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工况报警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汇总工况报警信息，包含企业名称、流程名称、事件类型、流程标签、开始时间、结束时间、事件进展等，可以对报警事件进行处置闭环，可以按照企业名称、流程名称及报警时间进行搜索查看。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漏点检测与修复</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首页</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可视化展示LDAR漏点检测与修复关键信息，包含企业数量、总监测点数、在产排口总数、第三方检测企业数、园区挥发性污染物种类、园区当年漏点情况统计、园区VOCs总量趋势图和LDAR数据报表等。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污染物类型管理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支持对污染物类型信息的新增、删除、编辑、查看，信息包含污染物类型及污染物描述，可以按照污染物类型进行搜索查看。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流体介质管理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color w:val="auto"/>
                <w:highlight w:val="none"/>
              </w:rPr>
              <w:t xml:space="preserve">支持对流体介质信息的新增、删除、编辑、查看，信息包含化学品名称、英文名称</w:t>
            </w:r>
            <w:r>
              <w:rPr>
                <w:color w:val="auto"/>
                <w:highlight w:val="none"/>
              </w:rPr>
              <w:br/>
            </w:r>
            <w:r>
              <w:rPr>
                <w:color w:val="auto"/>
                <w:highlight w:val="none"/>
              </w:rPr>
              <w:t xml:space="preserve">CAS号、沸点(°C)、蒸气压(20°C下，Pa)、VOCs、HAPs等，可以按照化学品名称和CAS号进行搜索查看。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企业档案管理（企业档案）</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支持查看及维护企业档案信息，包含企业信息、生产区信息、装置信息、设备信息、排放点信息及检测档案等。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漏点检测（检测数据列表）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列表化管理漏点检测数据，可以新增、编辑、删除、查看检测数据，并且能够更新检测数值，检测信息包含所属企业、所属生产区、所属装置、所属设备、排放点名称、排放点类型、流体介质、流体种类、检测值等，可以按照所属企业、设备名称、所在生产区、排放点名称、装置名称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漏点检测（检测数据列表）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支持导入、导出数据监测信息，可以对信息进行新增、删除、编辑、查看并在地图上添加点位，可以按照区域、密封点编号和类型进行搜索查看。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节能减排管理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国家重点节能低碳技术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color w:val="auto"/>
                <w:highlight w:val="none"/>
              </w:rPr>
              <w:t xml:space="preserve">支持导入、导出、新增、删除、修改、查看国家重点低碳节能技术相关信息。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设备及节能计划管理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color w:val="auto"/>
                <w:highlight w:val="none"/>
              </w:rPr>
              <w:t xml:space="preserve">支持对计量器具、重点能耗设备、节水节能专用设备和节能计划与措施管理。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危废管理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危废档案管理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支持对园区危废类别和危废八位码信息管理，可以新增、删除、编辑及查看等。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危废转移联单追溯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实现对危废转移的追踪溯源，可以查看企业转移联单备案记录和转移联单台账。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企业月度备案</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实现对企业月度危废处置情况的信息查看，支持查看企业备案记录及企业台账，台账信息包含产品生产、危废产生、危废自行利用处置、危废委托利用、危废贮存及相关汇总信息查看。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危废产生过程监管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实现对危废产生过程的监管，可以查看年度产废企业数量、许可产废规模等信息。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危废分类统计分析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实现对危废产生量、危废贮存量、危废自行处置量及危废委托处置量的统计分析。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危废贮存过程监督</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实现对贮存企业数量、许可存储能力等信息的统计查询。</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危废利用处置监管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主要是对危废利用处置台账和危废利用处置单位信息管理。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企业用车管理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对进出园区车辆信息进行管理和记录的功能，包括但不限于车辆进出时间、车牌号、排放阶段、运输的货物种类和运量等信息。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38"/>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新污染物治理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化学物质申报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color w:val="auto"/>
                <w:highlight w:val="none"/>
              </w:rPr>
              <w:t xml:space="preserve">提供一个平台，让园区内的企业可以在线提交他们使用的化学物质的详细信息，包括物质名称、用途、数量等。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38"/>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监测信息管理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用于记录和管理园区内所有化学物质的监测信息，包括监测时间、监测结果、监测方法等。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38"/>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物质筛查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根据预设的筛查标准，自动对园区内的化学物质进行筛查，筛选出可能存在风险的物质。</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38"/>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提供一套完整的数据管理系统，包括数据导入、导出、查询、统计等功能，方便用户对数据进行管理和分析。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38"/>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预警系统</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根据监测信息和物质筛查的结果，自动生成预警信息，提醒用户关注可能存在风险的物质。</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38"/>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报告生成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根据用户的需要，自动生成各种报告，包括化学物质申报报告、监测报告、筛查报告等。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7.4</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预警与溯源管理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预警与溯源管理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整合园区环境质量监测数据、污染源在线监测数据、特征污染物名录库、工况监控、气象条件等多维度的时空数据，通过数据关联分析和校验、模型反演等手段实现园区大气和水污染物溯源分析，具备对园区及周边环境投诉及质量超标等问题的溯源能力。</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7.5</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园区限值限量管理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园区限值限量管理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包含模型计算管理、限值限量监控管理等模块，满足省级生态环境主管部门的限值限量管理工作需求。</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7.6</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重污染天气应急管理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重污染天气应急管理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根据上级下达的重污染天气应急管理要求一键通知关联企业和接收企业反馈或上传应对措施落实情况等功能。</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7.7</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color w:val="auto"/>
                <w:highlight w:val="none"/>
              </w:rPr>
              <w:fldChar w:fldCharType="begin"/>
            </w:r>
            <w:r>
              <w:rPr>
                <w:color w:val="auto"/>
                <w:highlight w:val="none"/>
              </w:rPr>
              <w:instrText xml:space="preserve"> HYPERLINK "http://10.25.20.12:5999/ecological-environment-protection/risk_emergency_management" \h </w:instrText>
            </w:r>
            <w:r>
              <w:rPr>
                <w:color w:val="auto"/>
                <w:highlight w:val="none"/>
              </w:rPr>
              <w:fldChar w:fldCharType="separate"/>
            </w:r>
            <w:r>
              <w:rPr>
                <w:rFonts w:hint="eastAsia" w:ascii="宋体" w:hAnsi="宋体" w:eastAsia="宋体" w:cs="宋体"/>
                <w:color w:val="auto"/>
                <w:highlight w:val="none"/>
              </w:rPr>
              <w:t xml:space="preserve">园区风险与应急管理</w:t>
            </w:r>
            <w:r>
              <w:rPr>
                <w:rFonts w:hint="eastAsia" w:ascii="宋体" w:hAnsi="宋体" w:eastAsia="宋体" w:cs="宋体"/>
                <w:color w:val="auto"/>
                <w:highlight w:val="none"/>
              </w:rPr>
              <w:fldChar w:fldCharType="end"/>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环境风险源信息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新增编辑、删除、查看环境风险源信息，信息包含所属企业、环境风险源名称、涉及风险工艺或设备、典型事件情景、事件类型、涉及对象、事件级别等，可以按照企业名称、典型事件情景和典型事件类型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危险化学品管理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支持对企业使用或涉及的化学品关键信息的统计和分析功能，包括但不限于化学品名称、数量、贮存形式、环境危害性特征、是否构成重大危险源等信息。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园区环境应急管理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支持对环境风险应急预案、环境风险评估、突发环境事件隐患排查治理、应急物资储备及应急处置救援体系建设等信息的管理。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7.8</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综合决策</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问题线索督办</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新增编辑、删除、查看问题线索督办信息，信息包含整改状态、所属企业、问题标题、问题内容描述、问题类型、隐患级别、完成整改日期、督办状态、提出时间等，可以按照企业名称、整改状态、问题类型、问题标题、隐患级别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园区绩效评价</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汇总园区绩效评价信息，支持对园区经济填报信息、环境风险评估信息、环境绩效评估信息、绿色发展评估信息的查询与维护。</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信息公开</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园区综合信息公开管理，包含园区新闻、政府办事流程、上级文件管理、环境时间及违法管理、信访投诉管理等。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报表管理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园区环境信息进行统计分析，具备定时自动生成各类规范报表，包括日报、周报、月报、季报、年报、超标报表、断线报表等，支持各类数据的横向和纵向自定义统计和分析功能，具备报表打印、导出、查询、编辑等功能。</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7.9</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园区三级防控体系管理系统</w:t>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环境应急信息档案</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环境应急空间与设施</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雨水排口闸阀、污水排口闸阀、事故应急池，园区公共雨水管网、污水管网、雨水排口闸阀、污水排口闸阀、园区事故应急池、固定转输设施、废水处理设施，以及园区内河道、沟渠、闸坝、临时筑坝点等基本信息（含名称、类型、经纬度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环境风险三清单管控</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建立并更新“风险企业分级分类管理、风险物质基础信息、环境敏感保护目标”三个清单；</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突发水污染事件统计分析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化工园区内突发水污染防控事件综合查询和统计分析并形成电子档案。</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园区突发水污染事件应急全景指挥图</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园区周边水系展示</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园区周边水系展示，基于三维地图标注园区周边水系，包括重点环境敏感目标、河流水文水系等。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集成数据展示</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接入企业、园区、河道等在线数据，合理构建园区突发事故预警体系；接入企业、园区、河道等监控视频实景化展示企业、园区、河道实时情况。</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一级防控调度展示</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关闭所有可能外溢事故污水的外排口，利用企业自身的围堰、应急池等环境应急防控设施，将污水控制在企业厂区内部。</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二级防控调度展示</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通过专用管道或临时转输措施，与相邻企业应急池、园区公共应急池等互联互通，拦截处置事故污水。</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三级防控调度展示</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利用园区内的坑塘、河道、沟渠以及周边水系等过闸筑坝，构建环境应急防控空间，对进出园区的水体实施封闭或分段管控。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水污染事件园企联动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园区智慧平台收到突发水环境事件接警通知，接警消息同步至三级防控应急调度一张图，系统根据事故级别辅助决策是否开启企业一级防控。一级防控：集成企业雨水排口数据、视频实时监控、雨水外排阀、一级防控联系人、可用物资清单、应急池容等。在一张图上自动打开企业视频与周边应急物资、人员根据事故情况辅助园区管理人员远程控制企业雨水外排阀。</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园区二级防控调度系统</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当一级防控无法兜底需要启动园区二级防控体系，二级防控：统一纳管园区公共应急转输管网、转输泵及各池体有效池容信息、接入园区管网节点操作及维护人员信息、关联大企业及园区应急物资、专家、队伍信息。启动二级防控体系时明确突发事件类型根据以上装备物资及事故类型影响分析可能波及的路线与范围，辅助园区进行管网节点操作与园区雨水闸门远程启闭管理，实时显示周边应急池容积同时接入污水处理厂联系人及危废紧急处置联系人信息，建立与园区水污染物特征因子库匹配能力，推荐相关方向专家。</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区内水系三级防控调度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三级防控：接入三级拦截闸坝、拦截坝相关闸阀状态实现分区管控与应急联动；实时监测河道等缓冲设施剩余容量，有效在线调度各类设施设备实现废水走向控制确保事故废水不出园区。</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8、公共服务</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color w:val="auto"/>
                <w:highlight w:val="none"/>
              </w:rPr>
            </w:pPr>
            <w:r>
              <w:rPr>
                <w:rFonts w:ascii="宋体;SimSun" w:hAnsi="宋体;SimSun" w:eastAsia="宋体;SimSun" w:cs="宋体;SimSun"/>
                <w:color w:val="auto"/>
                <w:sz w:val="20"/>
                <w:szCs w:val="20"/>
                <w:highlight w:val="none"/>
              </w:rPr>
              <w:t xml:space="preserve">培训考核管理系统</w:t>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日常培训</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培训计划</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支持新增、删除、查看培训计划信息，信息包含计划名称、课程名称、培训类别、培训学时(分钟)、开始时间、结束时间、状态等，可以按照计划名称、课程名称、培训类别进行搜索查看。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在线考试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提供园区内企业人员在线进行考试的功能。</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培训记录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包含企业人员考试记录信息及课程进度信息，考试记录信息包含人员姓名、试卷名称、培训计划名称、考试时间、考试成绩、考试结果、用时(分钟)等，课程进度信息包含人员姓名、课程名称、学习时长(分钟)、课程学时(分钟)、学习进度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培训统计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可以查看培训概览，信息包含视频课程数量、文档课程数量、企业证书数量、到期证书数量、人员奖励次数和人员处罚次数；可以查看培训统计信息，支持以图表的形式进行培训统计数据的展现。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在线学习</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支持园区内人员在线学习培训课程。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线下培训记录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支持新增、删除、查看、编辑线下培训记录信息，信息包含人员姓名和</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培训日期、培训内容、培训讲师、考试成绩、培训结果、培训方式等，可以按照人员姓名和培训结果进行搜索查看。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培训设置</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课程分类管理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支持新增、删除、编辑分类课程信息。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课程管理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支持新增、删除、查看、编辑、下架培训课程信息，可以上传课程文件和课程封面，可以按照课程分类、课程名称、课程状态和是否优选进行搜索查看。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组卷规则</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支持新增、删除、查看、编辑组卷规则信息，信息包含单选、多选、判断、填空等，可以按照规则名称进行搜索查看。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试题管理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支持新增、删除、查看、编辑试题信息，信息包含试题编号、课程分类、课程名称、试题题干、试题答案、试题类型等，可以按照课程分类、课程名称及试题类型进行搜索查看。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试卷管理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支持组卷、自动组卷、删除、查看、编辑试卷，试卷信息包含试卷名称、涉及课程名称、试卷总分数、合格分数等，可以按照试卷名称、课程名称进行搜索查看。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奖惩记录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支持新增、删除、查看、编辑奖惩记录信息，信息包含奖惩类型、被奖惩者、奖惩金额(元)、奖惩日期、奖惩依据等，可以按照奖惩类型、被惩罚者进行搜索查看。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8.2</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公共服务管理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政策在线</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rPr>
                <w:color w:val="auto"/>
                <w:highlight w:val="none"/>
              </w:rPr>
            </w:pPr>
            <w:r>
              <w:rPr>
                <w:rFonts w:ascii="宋体;SimSun" w:hAnsi="宋体;SimSun" w:eastAsia="宋体;SimSun" w:cs="宋体;SimSun"/>
                <w:color w:val="auto"/>
                <w:sz w:val="20"/>
                <w:szCs w:val="20"/>
                <w:highlight w:val="none"/>
              </w:rPr>
              <w:t xml:space="preserve">建立国家至区县层级补贴、税收优惠等政策专项数据库，按月更新，标注适用工业领域、技改环节（设备更新/智能化改造）等元数据，提供政策原文下载；做场景化政策解读，搭配同类企业申报案例；升级检索功能，新增“技改类型、扶持方式、企业规模”筛选维度；依托企业工业画像构建“政策-需求-现状”模型，精准匹配政策（如为高能耗企业匹配节能技改政策）；结合技改投入、生产效率提升数据评估政策成效，反哺政策优化</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行业资讯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rPr>
                <w:color w:val="auto"/>
                <w:highlight w:val="none"/>
              </w:rPr>
            </w:pPr>
            <w:r>
              <w:rPr>
                <w:rFonts w:ascii="宋体;SimSun" w:hAnsi="宋体;SimSun" w:eastAsia="宋体;SimSun" w:cs="宋体;SimSun"/>
                <w:color w:val="auto"/>
                <w:sz w:val="20"/>
                <w:szCs w:val="20"/>
                <w:highlight w:val="none"/>
              </w:rPr>
              <w:t xml:space="preserve">依托产业信息管理系统，整合绿色产业链全链路信息，覆盖行业动态资讯、产品研发进展、资本动态三大核心维度；数据来源聚焦产业链龙头企业官方平台（技术白皮书、新品公告、产能报告）与各级政府及行业监管部门官网（政策文件、产业规划、资质审批公示），确保信息真实、时效与产业链适配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公共服务评价</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可以进行较为全面的公共服务评价。</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8.3</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办公管理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公告通知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公告通知功能用于发布、管理各类官方重要信息，支持编辑、发布、查看等操作。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资源收集管理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资源收集管理功能用于统筹各类资源的收集、整理、存储和查阅，支持资源上传、分类、权限管控等。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9、消防管理系统</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消防管理系统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消防档案管理系统</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园区消防队站、气防站人员、装备器材、应急物资、供水设施、消防车道等信息的可视化管理。实现对园区企业消防责任人、消防安全管理人、消防安全员，以及企业消防队、微型消防站人员、装备器材、应急物资、消防设施设备、消防安全交底箱等信息的可视化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消防智能报警系统</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平台通过标准HTTP/HTTPS协议及WebSocket全双工通信协议，对接园区内企业火灾报警控制系统的实时监测，及时掌握消防系统的运行状态和工作情况，监测的数据汇总存储在数据库中，为事前火灾预防、事中救援指挥、事后火灾调查提供全流程的数据支撑和服务。</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消防队伍管理系统</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实现消防队伍(灭火救援队、工艺处置队等)相关信息的可视化管理。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消防水系统监控系统</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平台针对园区企业单位的消防水箱、水池的液位、消防泵的管网压力及市政消防管网、消火栓、消防站的管网压力等数据进行实时采集数据对接和监测，根据数据的不同变化，提示、通知相关部门及领导安排隐患排查和整改，保证消防用水的正常使用。</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消防巡检管理系统</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巡检管理包括巡检任务生成、巡检反馈、巡检统计等，根据不同防火等级的单位，巡检任务有自动、手动两种方式生成。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巡检人员在现场可通过扫描消防设备设施上的二维码查找设备信息，通过照片、视频及文字描述等方式上报巡检结果，形成巡检记录和人员台账。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消防资产管理系统</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平台客户端数据列表的方式将联网单位的消防资产进行信息化展示，点击资产可查看对应资产信息及相关维保信息，同时支持消防资产的查询和统计。</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10、产业信息管理系统</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产业链招商与分析系统</w:t>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产业驾驶舱</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产业链节点分析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实现产业链“上游-中游-下游”全链路层级化图谱可视化，支持按企业名称、企业类型等关键词检索定位企业节点，点击可查看企业全息画像；以红（缺链）、橙（弱链）、蓝（强链）、绿（延链）、橙（补链）颜色标签标识环节状态，支持筛选缺链/弱链节点为招商与产业培育提供明确方向。</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产业主体分析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时监测园区企业创新能力（如发明专利），支持按产业链环节、企业类型筛选，提供专利排名。管理企业技术资质（高新技术企业、专精特新企业等资质数量分布）；分析企业经营活力（营收、融资事件动态变化，按企业规模、产业链环节呈现相关指标，支持查看单企业明细与同比/环比分析）；以柱状图、环形图可视化呈现各环节企业数量、占比及核心企业，点击可查看企业名录、产能规模等信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产业稳定性分析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基于GIS技术构建产业要素与空间分布动态关联体系，实时统计全产业链企业总数，按注册类型、成立年限、规模等级分类展示，支持年度/季度/月度筛选及增长率计算；监测企业所属环节、注册资本、核心产品等信息，按月度/季度统计增长情况。</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产业链节点完备性分析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缺链节点分析：通过对缺链环节企业类型分析，系统自动提供目标招商企业类型、技术引进方向等补链建议；弱链节点分析：量化评估企业数量、产能规模等指标，明确薄弱环节，对比行业先进水平分析，并针对该节点进行推荐优质企业清单；延链节点分析：识别产业链延伸潜力节点，分析上下游拓展可行性与市场前景，列出潜在合作企业，帮助园区产业链企业延展。</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产业发展态势分析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业规模分析：统计总产值、营业收入、企业数量等指标，按年度/季度绘制趋势图，拆分上下游环节占比，对比区域同类产业竞争优势；产业创新性分析：整合专利申请、研发投入、成果转化数据，统计三类专利数量及增长趋势，展示研发投入占营收比例、重点企业研发排行，评估专利转化成功率；产业风险性分析：监测经营/司法/监管等风险事件，统计风险企业数量与分布，分析供应链/技术/市场风险，生成高风险节点与企业预警报告；产业活跃性分析：统计招标/投标/融资/合作签约次数，按环节/企业类型呈现活跃性排名。</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产业能耗分析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实时采集经开区总能耗、分行业及分企业能耗数据，展示电、水、气能源消耗占比，动态呈现单位产值能耗变化趋势；支持能耗突增、低效消耗等异常预警。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10.2</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产业大脑研判系统</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企业基础管理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企业基本档案</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整合企业工商信息、资质认证、股权结构、组织架构、联系方式等基础数据，形成标准化信息档案，展示成立年限、注册资本、实缴资本、经营范围、核心团队等关键信息；支持查看工商变更、资质变更等历史变更记录，全面掌握企业基础状况</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企业综合分析</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rPr>
                <w:color w:val="auto"/>
                <w:highlight w:val="none"/>
              </w:rPr>
            </w:pPr>
            <w:r>
              <w:rPr>
                <w:rFonts w:ascii="宋体;SimSun" w:hAnsi="宋体;SimSun" w:eastAsia="宋体;SimSun" w:cs="宋体;SimSun"/>
                <w:color w:val="auto"/>
                <w:sz w:val="20"/>
                <w:szCs w:val="20"/>
                <w:highlight w:val="none"/>
              </w:rPr>
              <w:t xml:space="preserve">企业综合分析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经营能力：涵盖营收、利润等相关指标，对比行业平均水平与标杆企业；创新能力：包括专利数量、研发投入、技术成果转化等指标；成长潜力：基于营收增速、市场份额扩张、融资情况等数据；风险状况：涵盖经营风险（营收下滑、社保人数锐减）、司法风险（被执行人、破产重整）、监管风险（行政处罚、欠税）、信用风险等各类风险事件，自动识别高风险并预警</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企业产值趋势分析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rPr>
                <w:color w:val="auto"/>
                <w:highlight w:val="none"/>
              </w:rPr>
            </w:pPr>
            <w:r>
              <w:rPr>
                <w:rFonts w:ascii="宋体;SimSun" w:hAnsi="宋体;SimSun" w:eastAsia="宋体;SimSun" w:cs="宋体;SimSun"/>
                <w:color w:val="auto"/>
                <w:sz w:val="20"/>
                <w:szCs w:val="20"/>
                <w:highlight w:val="none"/>
              </w:rPr>
              <w:t xml:space="preserve">整合企业历年产值数据，按年度/季度绘制产值增长/下降趋势曲线，自动计算产值增长率；分析产值变化的驱动因素（产能扩张、产品升级、市场拓展）与制约因素（原材料价格上涨、市场需求不足），支持按产业链环节、企业规模分类统计对比</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11、易燃易爆有毒有害气体泄漏探测系统</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易燃易爆有毒有害气体泄漏监测系统</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监测装置信息</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气体传感器管理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通过设备名称、设备类型进行搜索。可查看气体传感器的状态、设备名称、设备编码、设备类型、监测气体、覆盖半径（米）及气体传感器详情等信息。可对传感器进行新增、编辑、删除等操作。可查看设备的实时监测数值，可查看设备视频监控的监控预览、实时预览。</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11.2</w:t>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color w:val="auto"/>
                <w:highlight w:val="none"/>
              </w:rPr>
              <w:fldChar w:fldCharType="begin"/>
            </w:r>
            <w:r>
              <w:rPr>
                <w:color w:val="auto"/>
                <w:highlight w:val="none"/>
              </w:rPr>
              <w:instrText xml:space="preserve"> HYPERLINK "http://10.25.20.12:5999/gas-lesakage-monitor/poisonous-harmful/poisonous-harmful-monitor-alarm" \h </w:instrText>
            </w:r>
            <w:r>
              <w:rPr>
                <w:color w:val="auto"/>
                <w:highlight w:val="none"/>
              </w:rPr>
              <w:fldChar w:fldCharType="separate"/>
            </w:r>
            <w:r>
              <w:rPr>
                <w:rFonts w:hint="eastAsia" w:ascii="宋体" w:hAnsi="宋体" w:eastAsia="宋体" w:cs="宋体"/>
                <w:color w:val="auto"/>
                <w:highlight w:val="none"/>
              </w:rPr>
              <w:t xml:space="preserve">气体监测报警</w:t>
            </w:r>
            <w:r>
              <w:rPr>
                <w:rFonts w:hint="eastAsia" w:ascii="宋体" w:hAnsi="宋体" w:eastAsia="宋体" w:cs="宋体"/>
                <w:color w:val="auto"/>
                <w:highlight w:val="none"/>
              </w:rPr>
              <w:fldChar w:fldCharType="end"/>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监测实时数据</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监测系统实时采集各监测点易燃易爆、有毒有害气体的浓度数据，同步显示气体类型、浓度值、监测位置及实时状态，异常时快速反馈，保障监测及时性与准确性。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气体泄漏报警事件</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支持查看气体泄漏报警事件列表，包含企业名称、流程名称、事件类型、流程标签、开始时间、结束时间、事件进展等信息；可以通过企业名称、流程名称及报警时间进行筛选查看。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视频分析报警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对接入的视频支持分析报警，支持按照视频点位名称和报警类型进行搜索查看，可以查看报警类型、报警时间、告警图片等信息，并且可以快速对视频报警事件进行处置。</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11.3</w:t>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数据统计分析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支持对气体监测历史数据进行多维度统计分析，可从时间、监测指标、监测因子、设备报警等多个角度，对历史数据变动趋势进行可视化呈现，直观反映监测数据规律与异常情况。</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12、公共管廊管理系统</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管廊信息管理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管廊基础信息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rPr>
                <w:color w:val="auto"/>
                <w:highlight w:val="none"/>
              </w:rPr>
            </w:pPr>
            <w:r>
              <w:rPr>
                <w:rFonts w:ascii="宋体;SimSun" w:hAnsi="宋体;SimSun" w:eastAsia="宋体;SimSun" w:cs="宋体;SimSun"/>
                <w:color w:val="auto"/>
                <w:sz w:val="20"/>
                <w:szCs w:val="20"/>
                <w:highlight w:val="none"/>
              </w:rPr>
              <w:t xml:space="preserve">提供园区公共管廊信息模块，用于维护园区管廊的基础信息，建立管廊统一管理台账，包含管理单位、管理单位编码、管廊编号、管廊名称、管廊分类、管廊层数、管廊宽度等。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管架基础信息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提供园区公共管架信息模块，用于维护园区管架的基础信息，建立管架统一管理台账，包含所在管廊、管架编号、管架名称、管架类型、投用日期等。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管线基础信息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提供园区公共管架管线模块，用于维护园区管线的基础信息，建立管线统一管理台账，包含所在管廊、管线编号、管线名称、所在层数、管位、危化品编号、介质名称、地理位置信息等。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管线使用单位信息</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提供园区公共管架管线使用单位模块，用于维护园区管线使用单位的基础信息，建立管线使用单位统一管理台账，包含管线编号（关联管线编号）、管线使用单位编号、所属单位编号、所属单位、使用类型。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12.2</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color w:val="auto"/>
                <w:highlight w:val="none"/>
              </w:rPr>
              <w:fldChar w:fldCharType="begin"/>
            </w:r>
            <w:r>
              <w:rPr>
                <w:color w:val="auto"/>
                <w:highlight w:val="none"/>
              </w:rPr>
              <w:instrText xml:space="preserve"> HYPERLINK "http://10.25.20.12:5999/gas-lesakage-monitor/pipe-rack/pipe-rack-monitor-alarm" \h </w:instrText>
            </w:r>
            <w:r>
              <w:rPr>
                <w:color w:val="auto"/>
                <w:highlight w:val="none"/>
              </w:rPr>
              <w:fldChar w:fldCharType="separate"/>
            </w:r>
            <w:r>
              <w:rPr>
                <w:rFonts w:hint="eastAsia" w:ascii="宋体" w:hAnsi="宋体" w:eastAsia="宋体" w:cs="宋体"/>
                <w:color w:val="auto"/>
                <w:highlight w:val="none"/>
              </w:rPr>
              <w:t xml:space="preserve">管廊监测报警</w:t>
            </w:r>
            <w:r>
              <w:rPr>
                <w:rFonts w:hint="eastAsia" w:ascii="宋体" w:hAnsi="宋体" w:eastAsia="宋体" w:cs="宋体"/>
                <w:color w:val="auto"/>
                <w:highlight w:val="none"/>
              </w:rPr>
              <w:fldChar w:fldCharType="end"/>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视频管理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支持接入公共管廊及周边安装的摄像头，实现视频的在线监测查看功能。</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设备在线监测</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支持接入公共管廊及周边安装的有毒可燃气体、压力、沉降等安全风险感知设备数据，实现管理安全风险监测数据的在线查看功能。支持有毒可燃气体、压力、沉降等设备的增加。</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监测实时数据</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对管廊和管线监测数据的实时查看，支持查看实时监测数据，包含浓度、温度、压力等数据。支持查看管廊、管线监测设备实时状态，包含正常、超标、异常、中断、停产和未开启等。可以按照管理单位、管廊名称和管廊分类进行筛选查询。</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历史数据分析</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可以通过数据列表和数据趋势图等形式，对管廊及管线的历史数据进行分析，分析数据类型包含温度、浓度和压力等。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管廊监测报警事件</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汇聚公共管廊安全风险感知设备报警数据，形成公共管廊安全风险感知预警台账，并在线进行闭环管理。可通过企业名称、流程名称、事件类型、流程标签、报警时间进行查询。</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12.4</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商务管理</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合同管理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管理管廊使用相关的合同信息。</w:t>
            </w:r>
            <w:r/>
          </w:p>
        </w:tc>
        <w:tc>
          <w:tcPr>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入廊管道申请</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处理企业入廊管道的申请流程。</w:t>
            </w:r>
            <w:r/>
          </w:p>
        </w:tc>
        <w:tc>
          <w:tcPr>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验收结果管理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管理管道入廊后的验收记录与结果。</w:t>
            </w:r>
            <w:r/>
          </w:p>
        </w:tc>
        <w:tc>
          <w:tcPr>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费用结算</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管理管廊使用费用的计算与结算流程。</w:t>
            </w:r>
            <w:r/>
          </w:p>
        </w:tc>
        <w:tc>
          <w:tcPr>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12.5</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入廊管理系统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施工申请</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处理企业在管廊内的施工申请与审批流程。</w:t>
            </w:r>
            <w:r/>
          </w:p>
        </w:tc>
        <w:tc>
          <w:tcPr>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作业票申请</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管理施工作业票的申请、审批与签发。</w:t>
            </w:r>
            <w:r/>
          </w:p>
        </w:tc>
        <w:tc>
          <w:tcPr>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管道投用申请</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处理管道投用前的申请与审批流程。</w:t>
            </w:r>
            <w:r/>
          </w:p>
        </w:tc>
        <w:tc>
          <w:tcPr>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12.6</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巡检管理系统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现场巡检</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管理现场巡检任务的派发、执行与反馈。</w:t>
            </w:r>
            <w:r/>
          </w:p>
        </w:tc>
        <w:tc>
          <w:tcPr>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视频巡检</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通过视频监控进行远程巡检，辅助现场巡检。</w:t>
            </w:r>
            <w:r/>
          </w:p>
        </w:tc>
        <w:tc>
          <w:tcPr>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巡检统计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统计巡检任务完成情况，生成巡检报表。</w:t>
            </w:r>
            <w:r/>
          </w:p>
        </w:tc>
        <w:tc>
          <w:tcPr>
            <w:tcBorders>
              <w:top w:val="single" w:color="000000" w:sz="4" w:space="0"/>
              <w:left w:val="single" w:color="000000" w:sz="4" w:space="0"/>
              <w:bottom w:val="single" w:color="000000" w:sz="4" w:space="0"/>
              <w:right w:val="single" w:color="000000" w:sz="4" w:space="0"/>
            </w:tcBorders>
            <w:tcW w:w="798"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13、防灾减灾预警系统</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数据对接</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对接气象数据。</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对接第三方气象数据资源，实时同步气温、降水、风力等气象参数，为园区防灾减灾工作开展提供精准、及时的数据支撑，保障防范决策科学合理。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年</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智能预报警</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极端天气预报警。</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实时监测暴雨、台风、暴雪等极端天气情况，当气象指标达到预警阈值时，自动发出预警警报，提醒工作人员及时启动防范措施。</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信息发布</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极端天气信息发布。</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通过平台向园区各部门、企业及相关人员，发布极端天气预警信息、防范指引和应对要求，确保相关人员及时掌握天气动态，做好防范准备。</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14、视频管理平台</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视频管理平台</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安监视频监控集成对接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支持多种协议(RTSP/RTMP/HLS/HTTP-FLV/WebSocket-FLV/GB28181/HTTP-TS/WebSocket-TS/HTTP-fMP4/WebSocket-fMP4/MP4/WebRTC)拉流对接主流品牌安监视频设备，统一汇聚园区多路监控画面，实现全点位视频集中预览、远程调阅与分级管控。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环保视频监控集成对接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支持多种协议(RTSP/RTMP/HLS/HTTP-FLV/WebSocket-FLV/GB28181/HTTP-TS/WebSocket-TS/HTTP-fMP4/WebSocket-fMP4/MP4/WebRTC)拉流对接主流品牌环保视频设备，统一汇聚园区多路监控画面，实现全点位视频集中预览、远程调阅与分级管控。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封闭视频监控集成对接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支持多种协议(RTSP/RTMP/HLS/HTTP-FLV/WebSocket-FLV/GB28181/HTTP-TS/WebSocket-TS/HTTP-fMP4/WebSocket-fMP4/MP4/WebRTC)拉流对接主流品牌封闭管控视频设备，统一汇聚园区多路监控画面，实现全点位视频集中预览、远程调阅与分级管控。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危化品停车场视频监控集成对接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多种协议(RTSP/RTMP/HLS/HTTP-FLV/WebSocket-FLV/GB28181/HTTP-TS/WebSocket-TS/HTTP-fMP4/WebSocket-fMP4/MP4/WebRTC)拉流对接主流品牌危化品停车场视频设备，统一汇聚园区多路监控画面，实现全点位视频集中预览、远程调阅与分级管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消防视频监控集成对接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支持多种协议(RTSP/RTMP/HLS/HTTP-FLV/WebSocket-FLV/GB28181/HTTP-TS/WebSocket-TS/HTTP-fMP4/WebSocket-fMP4/MP4/WebRTC)拉流对接主流品牌消防视频设备，统一汇聚园区多路监控画面，实现全点位视频集中预览、远程调阅与分级管控。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上合物流园（连云开发区）视频对接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多种协议(RTSP/RTMP/HLS/HTTP-FLV/WebSocket-FLV/GB28181/HTTP-TS/WebSocket-TS/HTTP-fMP4/WebSocket-fMP4/MP4/WebRTC)拉流对接主流品牌上合物流园（连云开发区）视频设备，统一汇聚园区多路监控画面，实现全点位视频集中预览、远程调阅与分级管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15、移动应用</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园区移动应用</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智慧安监移动应用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智慧安监移动应用（包含微信小程序及安卓版APP），管控园区安全，支持安全检查、隐患上报，便捷落实安监工作</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环境管理移动应用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环境管理移动应用（包含微信小程序及安卓版APP），监测园区环境，支持数据查看、异常上报，保障环境合规</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应急指挥移动应用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应急指挥移动应用（包含微信小程序及安卓版APP），应对突发情况，支持应急调度、指令传达，提升处置效率</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封闭管理移动应用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封闭管理移动应用（包含微信小程序及安卓版APP），管控园区出入，支持人员、车辆登记，保障园区封闭安全</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能源管理移动应用</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能源管理移动应用（包含微信小程序及安卓版APP），监测能源消耗，支持数据查看、能耗分析，实现节能管控</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16、智能视频分析平台</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16.1</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视频流平台</w:t>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智能监控</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智能监控</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查看多个设备的实时智能视频分析画面，用户可根据需要灵活调整视频界面布局，提升多画面监控效率，实时展示智能分析结果，包括目标检测框、识别标签和置信度，在视频画面上叠加显示智能分析报警信息，如区域入侵报警、人员聚集报警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实时视频</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支持RTSP、RTMP、HTTP-FLV、HLS等多种视频流协议，根据网络状况自动切换视频码流，保证流畅观看体验，实时展示各设备的视频画面，支持多种画面布局模式切换，便于用户快速查看多个监控点位的实时动态。</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历史记录</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抓拍记录</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集中展示由视频智能分析所产生的所有抓拍记录与事件快照，系统会详细记录每条结果的关联通道、抓拍图片、事件类型以及精确的时间戳，支持根据类型、通道进行检索，便于用户进行历史事件的追溯与审计。</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流量统计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color w:val="auto"/>
                <w:highlight w:val="none"/>
              </w:rPr>
              <w:t xml:space="preserve">对指定时间段内各通道的视频内容进行深度数据分析，生成包括人流统计、车流统计、非机动车流量以及区域人数统计在内的多维度数据报表，为用户评估区域活跃度、优化资源配置提供量化的数据依据。</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基础数据</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模板管理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管理视频智能分析模板，包括模板ID、名称、类型及示例图片，用于定义算法识别目标特征（如安全帽、工服、口罩等），提升识别准确率。</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视频上传</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支持用户上传本地视频文件至系统，用于后续分析、回放、作为智能分析的数据源。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音频上传</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支持上传音频文件，可用于告警提示、语音播报或与视频分析任务联动使用。</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系统管理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系统版本</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展示系统版本相关信息，包括设备序列号、硬件配置、接口版本、服务器时间、软件版本等，便于系统维护与版本管理。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有线网络</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负责管理与系统数据存储和网络通信相关的所有配置，包括存储设备的状态与策略、网络连接状态、DHCP设置、IP地址、子网掩码、网关及DNS服务器地址等，是保障系统数据落地与网络连通性的基础设置中心。</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时间配置</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支持对系统及各设备的时间进行统一配置与管理，包括NTP使能、域名或IP，校时时间间隔、设置时区等。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平台对接</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支持与外部第三方平台的数据集成与业务联动，通过标准化的接口与协议，实现报警信息、视频流、结构化数据等的跨平台传输与共享。维护SIP服务编码、SIP服务域、服务IP等内容。</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报警推送</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智能分析模块检测到预设的告警事件（如入侵、烟火等），系统将告警信息通过配置好的通道（如短信、平台接口等）实时推送给指定责任人，形成从事件感知到信息送达的快速闭环。</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16.2</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视频推理平台</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通道管理</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通道管理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管理视频通道，支持批量启用/停用、修改通道参数，包括通道名称、是否启用、接入类型、视频快照、传输协议、状态等</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智能任务</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任务管理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支持根据复杂业务场景需求创建智能分析任务，可在任务中精细定义检测区域、设置屏蔽区域（即不检测区域），并为该任务设定生效时间范围，从而实现对特定区域在特定时段内的定向智能分析。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轮训任务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支持用户为不同通道的分析任务设定差异化的执行时长与周期，实现对视频智能分析行为的定时启停与持续时间管理，满足诸如定时布防、周期检测等灵活的场景化需求。</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时间计划</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提供灵活的分析时段配置功能，支持按周循环（周一至周日）分别设置不同的视频分析时间段，满足周期性任务需求。</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16.3</w:t>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视频分析算法</w:t>
            </w:r>
            <w:r/>
          </w:p>
        </w:tc>
        <w:tc>
          <w:tcPr>
            <w:gridSpan w:val="2"/>
            <w:tcBorders>
              <w:top w:val="single" w:color="000000" w:sz="4" w:space="0"/>
              <w:left w:val="single" w:color="000000" w:sz="4" w:space="0"/>
              <w:bottom w:val="single" w:color="000000" w:sz="4" w:space="0"/>
              <w:right w:val="single" w:color="000000" w:sz="4" w:space="0"/>
            </w:tcBorders>
            <w:tcW w:w="3314"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算法管理</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高空瞭望摄像头视频分析：烟雾检测。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高空瞭望摄像头视频分析：火点检测。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企业中控室摄像头视频分析：人员在岗离岗检测分析。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314"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周界电子围栏防入侵检测算法。</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1381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17、企业数据服务</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17.1</w:t>
            </w:r>
            <w:r/>
          </w:p>
        </w:tc>
        <w:tc>
          <w:tcPr>
            <w:gridSpan w:val="3"/>
            <w:tcBorders>
              <w:top w:val="single" w:color="000000" w:sz="4" w:space="0"/>
              <w:left w:val="single" w:color="000000" w:sz="4" w:space="0"/>
              <w:bottom w:val="single" w:color="000000" w:sz="4" w:space="0"/>
              <w:right w:val="single" w:color="000000" w:sz="4" w:space="0"/>
            </w:tcBorders>
            <w:tcW w:w="472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企业视频汇聚服务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按照《危险化学品安全生产风险监测预警系统数据接入规范》《重点化工产业聚集区重大安全风险防控项目技术验收评分表解读》等文件要求，对园区内7家化工企业视频重点区域视频（包含但不仅限于重大危险源库区、储罐区内视频；企业值班监控中心视频；重点监管工艺内部视频；企业二道门物流门等）采集、汇聚。自建系统企业特殊作业、人员定位等相关数据汇聚。</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17.2</w:t>
            </w:r>
            <w:r/>
          </w:p>
        </w:tc>
        <w:tc>
          <w:tcPr>
            <w:gridSpan w:val="3"/>
            <w:tcBorders>
              <w:top w:val="single" w:color="000000" w:sz="4" w:space="0"/>
              <w:left w:val="single" w:color="000000" w:sz="4" w:space="0"/>
              <w:bottom w:val="single" w:color="000000" w:sz="4" w:space="0"/>
              <w:right w:val="single" w:color="000000" w:sz="4" w:space="0"/>
            </w:tcBorders>
            <w:tcW w:w="472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物联数据汇聚服务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按照《危险化学品安全生产风险监测预警系统建设指南》《危险化学品安全生产风险监测预警系统数据接入规范》《化工园区安全风险智能化管控平台建设指南（试行）》等文件要求，对园区内7家涉及重大危险源、硝化工艺企业实时监测数据（包含重大危险源的温度、压力、液位、有毒可燃气体）采集，通过数据采集网关对企业重大危险源监测数据进行汇聚。</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17.3</w:t>
            </w:r>
            <w:r/>
          </w:p>
        </w:tc>
        <w:tc>
          <w:tcPr>
            <w:gridSpan w:val="3"/>
            <w:tcBorders>
              <w:top w:val="single" w:color="000000" w:sz="4" w:space="0"/>
              <w:left w:val="single" w:color="000000" w:sz="4" w:space="0"/>
              <w:bottom w:val="single" w:color="000000" w:sz="4" w:space="0"/>
              <w:right w:val="single" w:color="000000" w:sz="4" w:space="0"/>
            </w:tcBorders>
            <w:tcW w:w="472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数据上传服务</w:t>
            </w:r>
            <w:r/>
          </w:p>
        </w:tc>
        <w:tc>
          <w:tcPr>
            <w:tcBorders>
              <w:top w:val="single" w:color="000000" w:sz="4" w:space="0"/>
              <w:left w:val="single" w:color="000000" w:sz="4" w:space="0"/>
              <w:bottom w:val="single" w:color="000000" w:sz="4" w:space="0"/>
              <w:right w:val="single" w:color="000000" w:sz="4" w:space="0"/>
            </w:tcBorders>
            <w:tcW w:w="6774"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将汇聚的7家企业视频监控（包含但不仅限于重大危险源库区、储罐区内视频；企业值班监控中心视频；重点监管工艺内部视频；企业二道门物流门等）和7家涉及重大危险源、硝化工艺企业实时监测（包含重大危险源的温度、压力、液位、有毒可燃气体）上传至园区平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bl>
    <w:p>
      <w:pPr>
        <w:numPr>
          <w:ilvl w:val="0"/>
          <w:numId w:val="3"/>
        </w:numPr>
        <w:ind w:left="420"/>
        <w:spacing w:line="360" w:lineRule="auto"/>
        <w:rPr>
          <w:rFonts w:ascii="宋体;SimSun" w:hAnsi="宋体;SimSun" w:eastAsia="宋体;SimSun" w:cs="宋体;SimSun"/>
          <w:b/>
          <w:bCs/>
          <w:color w:val="auto"/>
          <w:sz w:val="24"/>
          <w:szCs w:val="24"/>
          <w:highlight w:val="none"/>
        </w:rPr>
        <w:outlineLvl w:val="1"/>
      </w:pPr>
      <w:r>
        <w:rPr>
          <w:rFonts w:ascii="宋体;SimSun" w:hAnsi="宋体;SimSun" w:eastAsia="宋体;SimSun" w:cs="宋体;SimSun"/>
          <w:b/>
          <w:bCs/>
          <w:color w:val="auto"/>
          <w:sz w:val="24"/>
          <w:szCs w:val="24"/>
          <w:highlight w:val="none"/>
        </w:rPr>
        <w:t xml:space="preserve">数字孪生平台需求</w:t>
      </w:r>
      <w:r/>
    </w:p>
    <w:p>
      <w:pPr>
        <w:ind w:firstLine="420"/>
        <w:spacing w:after="120" w:line="360" w:lineRule="auto"/>
        <w:rPr>
          <w:color w:val="auto"/>
          <w:highlight w:val="none"/>
        </w:rPr>
      </w:pPr>
      <w:r>
        <w:rPr>
          <w:color w:val="auto"/>
          <w:highlight w:val="none"/>
        </w:rPr>
        <w:t xml:space="preserve">数字孪生平台包含三维建模与优化、数据采集绑定、大屏展示、场景交互、数据看板可视化等功能。三维建模为宏观园区级，不依赖点位图，以园区总面积、建筑栋数、设备品类、管廊延米等宏观指标为报价基准。数字孪生平台需求清单如下：</w:t>
      </w:r>
      <w:r/>
    </w:p>
    <w:tbl>
      <w:tblPr>
        <w:tblStyle w:val="1006"/>
        <w:tblW w:w="4950" w:type="pct"/>
        <w:tblInd w:w="-113" w:type="dxa"/>
        <w:tblLayout w:type="fixed"/>
        <w:tblCellMar>
          <w:left w:w="108" w:type="dxa"/>
          <w:top w:w="0" w:type="dxa"/>
          <w:right w:w="108" w:type="dxa"/>
          <w:bottom w:w="0" w:type="dxa"/>
        </w:tblCellMar>
        <w:tblLook w:val="04A0" w:firstRow="1" w:lastRow="0" w:firstColumn="1" w:lastColumn="0" w:noHBand="0" w:noVBand="1"/>
      </w:tblPr>
      <w:tblGrid>
        <w:gridCol w:w="1366"/>
        <w:gridCol w:w="2497"/>
        <w:gridCol w:w="2002"/>
        <w:gridCol w:w="5443"/>
        <w:gridCol w:w="1363"/>
        <w:gridCol w:w="1362"/>
      </w:tblGrid>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一级功能模块</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二级功能模块</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具体功能</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单位</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三维建模与优化功能</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地形地貌建模</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构建园区地形、道路、绿化、河流等基础环境三维模型</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企业楼栋建模</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对园区内各企业厂房、办公楼、仓库等建筑进行三维建模</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装置建模</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对反应釜、塔器、储罐、管道等生产设备装置进行精细建模</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设施建模</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对泵、风机、换热器、锅炉等通用设备设施进行三维建模</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管线管廊建模</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对园区内蒸汽、燃气、物料输送等管线管廊进行三维建模</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模型轻量化处理</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对高精度模型进行压缩减面，提升Web端加载和渲染性能</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模型LOD层级管理</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根据视距自动切换模型精细度（高/中/低模），优化显示性能</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空间层级树管理</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按园区-企业-楼栋-楼层-设备构建层级树，支持逐级定位浏览</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实时数据绑定</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将传感器实时数据与模型绑定，驱动设备状态动态展示</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模型版本管理</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管理模型迭代版本，支持历史版本对比和回退</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11</w:t>
            </w:r>
            <w:r/>
          </w:p>
        </w:tc>
        <w:tc>
          <w:tcPr>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rPr>
                <w:color w:val="auto"/>
                <w:highlight w:val="none"/>
              </w:rPr>
            </w:pPr>
            <w:r>
              <w:rPr>
                <w:rFonts w:ascii="宋体;SimSun" w:hAnsi="宋体;SimSun" w:eastAsia="宋体;SimSun" w:cs="宋体;SimSun"/>
                <w:color w:val="auto"/>
                <w:sz w:val="22"/>
                <w:highlight w:val="none"/>
              </w:rPr>
              <w:t xml:space="preserve">数据采集与绑定功能</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数据采集功能</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采集设备运行、环境、能耗等多维度实时数据</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数据对接适配功能</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适配不同协议和数据源，实现系统间数据互通</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13</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数据清洗与标准化功能</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清洗异常数据，统一数据格式和标准</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数据绑定配置管理</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支持用户通过界面手动关联数据源与模型对象，管理绑定关系的增删改查，驱动模型动态展示。</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数字孪生态势感知</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封闭管理运行态势</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展示人员/车辆进出、卡口状态等封闭管理实时态势</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16</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安全生产运行态势分析</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展示安全风险、作业许可、隐患治理等安全生产态势</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17</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环境管理运行态势分析</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展示大气、水质、噪声等环境监测实时数据</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18</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消防运行态势分析</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展示消防设施状态、报警信息、应急资源等消防态势</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19</w:t>
            </w:r>
            <w:r/>
          </w:p>
        </w:tc>
        <w:tc>
          <w:tcPr>
            <w:tcBorders>
              <w:top w:val="single" w:color="000000" w:sz="4"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园区招商/资源态势分析</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展示园区企业分布、资源利用、招商进度等经营态势</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三维场景交互浏览</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三维场景交互浏览</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支持场景漫游、缩放、旋转等交互操作，多视角查看</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21</w:t>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数据看板</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数据看板</w:t>
            </w:r>
            <w:r/>
          </w:p>
        </w:tc>
        <w:tc>
          <w:tcPr>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以图表形式展示关键指标，支持自定义看板布局</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w:t>
            </w:r>
            <w:r/>
          </w:p>
        </w:tc>
      </w:tr>
    </w:tbl>
    <w:p>
      <w:pPr>
        <w:numPr>
          <w:ilvl w:val="0"/>
          <w:numId w:val="3"/>
        </w:numPr>
        <w:ind w:left="420"/>
        <w:spacing w:line="360" w:lineRule="auto"/>
        <w:rPr>
          <w:rFonts w:ascii="宋体;SimSun" w:hAnsi="宋体;SimSun" w:eastAsia="宋体;SimSun" w:cs="宋体;SimSun"/>
          <w:b/>
          <w:bCs/>
          <w:color w:val="auto"/>
          <w:sz w:val="24"/>
          <w:szCs w:val="24"/>
          <w:highlight w:val="none"/>
        </w:rPr>
        <w:outlineLvl w:val="1"/>
      </w:pPr>
      <w:r>
        <w:rPr>
          <w:rFonts w:ascii="宋体;SimSun" w:hAnsi="宋体;SimSun" w:eastAsia="宋体;SimSun" w:cs="宋体;SimSun"/>
          <w:b/>
          <w:bCs/>
          <w:color w:val="auto"/>
          <w:sz w:val="24"/>
          <w:szCs w:val="24"/>
          <w:highlight w:val="none"/>
        </w:rPr>
        <w:t xml:space="preserve">指挥中心配套设备需求</w:t>
      </w:r>
      <w:r/>
    </w:p>
    <w:p>
      <w:pPr>
        <w:ind w:firstLine="420"/>
        <w:spacing w:line="360" w:lineRule="auto"/>
        <w:rPr>
          <w:color w:val="auto"/>
          <w:highlight w:val="none"/>
        </w:rPr>
      </w:pPr>
      <w:r>
        <w:rPr>
          <w:color w:val="auto"/>
          <w:highlight w:val="none"/>
        </w:rPr>
        <w:t xml:space="preserve">指挥中心配套设备需求主要包含指挥中心大屏设备、音频会议扩声系统、融合通信系统、设备间设备、远程视频会议系统、网络设备、门禁控制系统等。指挥中心配套设备需求清单如下：</w:t>
      </w:r>
      <w:r/>
    </w:p>
    <w:tbl>
      <w:tblPr>
        <w:tblStyle w:val="1006"/>
        <w:tblW w:w="5000" w:type="pct"/>
        <w:tblInd w:w="-113" w:type="dxa"/>
        <w:tblLayout w:type="fixed"/>
        <w:tblCellMar>
          <w:left w:w="108" w:type="dxa"/>
          <w:top w:w="0" w:type="dxa"/>
          <w:right w:w="108" w:type="dxa"/>
          <w:bottom w:w="0" w:type="dxa"/>
        </w:tblCellMar>
        <w:tblLook w:val="04A0" w:firstRow="1" w:lastRow="0" w:firstColumn="1" w:lastColumn="0" w:noHBand="0" w:noVBand="1"/>
      </w:tblPr>
      <w:tblGrid>
        <w:gridCol w:w="884"/>
        <w:gridCol w:w="2901"/>
        <w:gridCol w:w="8537"/>
        <w:gridCol w:w="1017"/>
        <w:gridCol w:w="835"/>
      </w:tblGrid>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主要设备</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center"/>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主要参数</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单位</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１、设备间配套设备</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视频综合管控平台</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含1200个视频授权点位，化工园区700个视频点位及经开区500个视频点位。</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视频平台级联分项授权</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融合通信系统获取视频平台授权。</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视频中心分析系统及视频分析授权点</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支持检测、分类、检测+分类、语义分割、实例分割、图像比对、算法编排等AI模型加载运行</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平台功能简述 监控设备接入、算法配置管理、GB28181上级/下级级联、告警管理、数据推送服务、ROI区域数量无限制等；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化工园区700个视频点位及经开区500个视频点位。</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1200</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点</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视频存储设备</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48盘位，机架式网络存储设备</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单设备配置≥64位多核处理器，标配8GB内存</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48个SATA接口，支持硬盘热插拔</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具备3个2.5G数据网口，1个2.5G管理口</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1+1冗余电源</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接入带宽≥900Mbps</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支持ONVIF、GB/T 28181、RTSP等标准协议</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支持RAID0、1、5、6、10、50等多种RAID模式</w:t>
            </w:r>
            <w:r/>
          </w:p>
          <w:p>
            <w:pPr>
              <w:jc w:val="left"/>
              <w:rPr>
                <w:rFonts w:ascii="宋体" w:hAnsi="宋体" w:eastAsia="宋体"/>
                <w:color w:val="auto"/>
                <w:highlight w:val="none"/>
              </w:rPr>
            </w:pPr>
            <w:r>
              <w:rPr>
                <w:rFonts w:ascii="宋体" w:hAnsi="宋体" w:eastAsia="宋体" w:cs="宋体;SimSun"/>
                <w:color w:val="auto"/>
                <w:sz w:val="22"/>
                <w:highlight w:val="none"/>
              </w:rPr>
              <w:t xml:space="preserve">需配置48块12TB硬盘，总容量达576TB</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视频分析设备</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hint="eastAsia" w:ascii="宋体" w:hAnsi="宋体" w:eastAsia="宋体" w:cs="宋体;SimSun"/>
                <w:color w:val="auto"/>
                <w:sz w:val="22"/>
                <w:highlight w:val="none"/>
              </w:rPr>
            </w:pPr>
            <w:r>
              <w:rPr>
                <w:rFonts w:ascii="宋体" w:hAnsi="宋体" w:eastAsia="宋体" w:cs="宋体;SimSun"/>
                <w:color w:val="auto"/>
                <w:sz w:val="22"/>
                <w:highlight w:val="none"/>
              </w:rPr>
              <w:t xml:space="preserve">支持常见PyTorch、ONNX、TensorFlow算法框架，支持INT8/FP16/FP32混合运算</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分析模式：实时视频分析、轮询视频分析、定时抓图分析、中心视频分析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实时/中心模式：单设备最大64路实时任务，不低于256路轮询分析</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主芯片：8核64位国产处理器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算力：算力≥64TBOPS，可横向扩展算力，最大可扩展至256TOPS</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视频解码：视频解码能力≥64路1920×1080@25fps/16*4K@25fps</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内部存储：DDR4 16GB eMMC5.0 64G</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外部存储：可支持≥1路SATA硬盘</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网口：RJ45接口≥2，支持10/100/1000Mbps自适应</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视频接口：HDMI OUT</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音频：3.5mm音频接口</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Wi-Fi &amp; 5G：支持扩展Wi-Fi、4G/5G模组</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USB：USB3.0≥2，支持1路Debug Type-C调试口</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外壳材质：不锈钢版本</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电源：AC220V 50Hz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外观尺寸： 1U 机架式</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工作温度：-20℃～60℃</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NVR 网络硬盘录像机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32路硬盘录像机</w:t>
            </w:r>
            <w:r/>
          </w:p>
          <w:p>
            <w:pPr>
              <w:jc w:val="left"/>
              <w:rPr>
                <w:rFonts w:ascii="宋体" w:hAnsi="宋体" w:eastAsia="宋体"/>
                <w:color w:val="auto"/>
                <w:highlight w:val="none"/>
              </w:rPr>
            </w:pPr>
            <w:r>
              <w:rPr>
                <w:rFonts w:ascii="宋体" w:hAnsi="宋体" w:eastAsia="宋体" w:cs="宋体;SimSun"/>
                <w:color w:val="auto"/>
                <w:sz w:val="22"/>
                <w:highlight w:val="none"/>
              </w:rPr>
              <w:t xml:space="preserve">接入：32 路 IPC，总接入带宽 256Mbps</w:t>
            </w:r>
            <w:r/>
          </w:p>
          <w:p>
            <w:pPr>
              <w:jc w:val="left"/>
              <w:rPr>
                <w:rFonts w:ascii="宋体" w:hAnsi="宋体" w:eastAsia="宋体"/>
                <w:color w:val="auto"/>
                <w:highlight w:val="none"/>
              </w:rPr>
            </w:pPr>
            <w:r>
              <w:rPr>
                <w:rFonts w:ascii="宋体" w:hAnsi="宋体" w:eastAsia="宋体" w:cs="宋体;SimSun"/>
                <w:color w:val="auto"/>
                <w:sz w:val="22"/>
                <w:highlight w:val="none"/>
              </w:rPr>
              <w:t xml:space="preserve">解码：12 路 1080p 同时解码，SVC 模式最高 16 路；本地同步回放 16 路</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输出：HDMI (4K)+VGA (1080p)，支持同源 / 异源输出</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盘位：8 盘 SATA，单盘最大 10TB，整机最高 80TB</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接口：双千兆网口；前置 2×USB2.0、后置 1×USB3.0；</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UPS不间断电源</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1.UPS容量：30KVA，主机的输入：输入相电压范围：190-520VAC；输入频率范围：40-70Hz；输入功率因数：≥0.99；直流电压：384-480V。</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2.UPS主机的输出：输出功率因数1.0；效率：50%阻性负载≥96%；</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3.在线式双变换拓扑结构，三进三出，采用先进的DSP数字控制技术，塔式安装。</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应采用触摸屏设计，可实时显示UPS的工作参数和运行状态（故障信息，负载容量，电池容量，旁路模式，市电模式，电池模式，电池故障，过载等信息），主界面具有控制、量测、设定、资讯、记录5个主菜单，操作便捷人性化。</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5.市电异常状况可以直接用电池启动UPS，满足应急需求；无电池状态可直接采用市电启动UPS，可作高精度稳压电源使用，兼容发电机接入。</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6.过载能力：输入电压为额定值，输出为阻性负载，调节输出电流，使输出功率为额定值的125%时，机器正常工作时间应≥10min。</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7.输入过压、短路、过温等多重完善的保护功能。 </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8.提供浪涌保护功能，减少UPS对电网中其他敏感设备的影响。</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9.UPS需标配安全关机软件，可以在市电断电电池耗尽之前，将服务器的重要数据进行保存并安全关机，以避免发生意外断电事故时造成的数据丢失和系统崩溃。</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10.UPS须具有ECO模式</w:t>
            </w:r>
            <w:r/>
          </w:p>
          <w:p>
            <w:pPr>
              <w:jc w:val="left"/>
              <w:rPr>
                <w:rFonts w:hint="eastAsia" w:ascii="宋体" w:hAnsi="宋体" w:eastAsia="宋体"/>
                <w:color w:val="auto"/>
                <w:highlight w:val="none"/>
              </w:rPr>
            </w:pPr>
            <w:r>
              <w:rPr>
                <w:rFonts w:ascii="宋体" w:hAnsi="宋体" w:eastAsia="宋体" w:cs="宋体;SimSun"/>
                <w:color w:val="auto"/>
                <w:sz w:val="22"/>
                <w:highlight w:val="none"/>
              </w:rPr>
              <w:t xml:space="preserve">11.支持双路市电输入</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4"/>
                <w:szCs w:val="24"/>
                <w:highlight w:val="none"/>
              </w:rPr>
            </w:pPr>
            <w:r>
              <w:rPr>
                <w:rFonts w:ascii="宋体" w:hAnsi="宋体" w:eastAsia="宋体" w:cs="宋体;SimSu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4"/>
                <w:szCs w:val="24"/>
                <w:highlight w:val="none"/>
              </w:rPr>
            </w:pPr>
            <w:r>
              <w:rPr>
                <w:rFonts w:ascii="宋体" w:hAnsi="宋体" w:eastAsia="宋体" w:cs="宋体;SimSun"/>
                <w:color w:val="auto"/>
                <w:sz w:val="24"/>
                <w:szCs w:val="24"/>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精密空调</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1．技术参数：制冷量≥20.2 kW；显冷量≥18.3 kW；电加热≥6 kW；加湿量≥6 kg/h；风量≥5500m³/h；上送风机组；</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2．压缩机系统：高效柔性涡旋压缩机；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3．机房专用空调应能解决机房的高显热量负荷，在室内侧干球温度24℃，室外干球温度35℃工况下：显热比 ≥0.90；</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4．在室内侧干球温度24℃，室外干球温度35℃工况下：机组制冷能效比应≥3.0；</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5．室内风机系统：标配高效后倾离心风机；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6．加湿系统：应采用高效电极加湿器，所选用加湿器需可以在场地进行拆装清理，反复应用；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7．冷凝器部分：冷凝风机采用无级调速，高效节能；</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8．除湿性能：机组应具备精确除湿功能，通过控制器精确调节风量来达到准确控制除湿量的效果，减少空气过冷及热补偿需求，降低机房专用空调除湿过程耗电量</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9．节流器件：采用电子膨胀阀；</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10．控制显示系统：全中文真彩色4.3英寸超大触摸图文显示屏，直观显示空调运行状态与被检测机柜进出风温湿度；</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11．控制存储系统：显示器中可调阅查看不少于300条历史告警，可扩展存储调阅历史记录，每60秒机组存储各项运行数据，可通过计算机直接读取数据；</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12．群控功能：群控不少于32台机组，轻松组网，可共享并设定温湿度值，群控模式包括自动确认空调开启数量、避免竞争运行，定时轮巡与故障自动切换；</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13．控制系统应具有三遥功能，遥测项目：送、回风温度、回风湿度等；遥信项目：机组工作模式、风机正常/故障、告警与保护类型、压缩机故障告警；遥控项目：空调开/关机；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14．控制采集系统：结合群控系统，可外接温湿度传感器，检测机柜（机架）进出风温湿度，可根据机架的制冷需求，选择控制模式，包括最大值以及平均值等，作为制冷需求计算的依据，调节冷量、风量输出；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15．机组适用性：机房专用空调机组的送风余压应不小于50Pa，能适应机房实际的较宽送风距离要求。并可根据设计需要提供更高余压。提高机组送风余压应不减少机组的送风量；室内空调机组要求100%全正面维护，需可以靠装、并装；</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2、指挥中心大屏设备</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LED屏</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室内小间距全彩LED</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大屏的尺寸：长15.0m，高3.0375m</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封装方式：MIP</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像素间距≤1.25 mm</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像素密度≥640000 点/㎡</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白平衡亮度≥600 cd/㎡</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刷新率≥3840 Hz</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对比度≥10000：1</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45.56</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安装调试等服务</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安装调试等服务</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45.56</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大屏支架/LED室内</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配套LED定制化落地支架</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58 </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LED控制设备</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配套LED大屏</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HDMI输入口≥8路</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HDMI输出口≥16路</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整机解码能力≥288路720p@30Hz同时解码</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支持双电源热备功能，支持电源热插拔</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支持画面分割显示、任意开窗</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支持虚拟LED字幕功能;</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支持自动检测输入源的信号类型。</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支持监控场景切换，最大可支持切换场景数为4个，场景切换时间≤2s。</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LED发送卡</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配套LED大屏4网口 2K LED发送卡，支持带载≥260万像素支持HDMI音视频复合流输入，支持3.5mm音频输出设备支持对LED大屏进行亮度、色温及图像进行调节</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LED配电柜</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配套LED大屏</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输入电压：380V，三相五线</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输出电压：220V</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额定功率：20kW</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输出回路：6个单相回路（AC220V）</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支持远程控制电源</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配件辅材</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网线、电源线、维护工具、备用LED单元等。</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控制平板</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1.IPS材质≥10.8英寸</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2.运行内存:≥8GB</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3.存储容量:≥128GB</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4.CPU核心数:≥8核</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5.分辨率:≥2560×1600 </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6.Wi-Fi版</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３、指挥中心配套设备</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操作工作站</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一台操作主机，cpu核心/线程数：16核心/24线程</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电源850W</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机械硬盘4TB，转速5400rpm，缓存256MB，接口 SATA 6Gb/s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固态存储容量 1TB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显卡显存容量 12GB 显存类型 GDDR6X 显存位宽 192bit 核心频率 1980-2475MHz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一块3840×2160显示器</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控制终端</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1.处理器：6核6线程</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2.内存：8GB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3.硬盘：512GB SSD</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4.显卡：核显</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5.24英寸显示器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6.舒适实用性键鼠</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4、指挥中心音频会议扩声系统</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音箱</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1.系统类型：12英寸，2分频低频反射式；</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2.额定功率：≥300W；</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3.标称阻抗：8Ω；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4.标称灵敏度（1W@1m）：≥96dB；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 最大声压级（Pmax@1m）：≥121dB；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6.频率范围(-10dB)：50Hz-20kHz；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7.频率响应(±3dB)：85Hz-20kHz；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8.标称指向性（-6dB）：70°H×100°V；</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9.换能器配置：低频驱动器12″×1，高频驱动器1.7″×1；</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10.水性环保喷涂处理；</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11.具备优良的低频阻尼特性，声染色低；</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只</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支架</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1.采用3.2mm加厚加硬钢板，用料扎实，承重力更强，单只可承重≥40KG；</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2.左右180度调节角度，向下60度调节角度，中间连接杆可伸缩调节；</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3.无级左右调节，始终保持音箱和视角垂直；</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只</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专业功放</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1.采用AB类拓扑电路技术，拥有高效率的功率转换和精良的电路布局;</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2.铁芯生产超大功率环牛电源变压器设计，采用10000μF超大电解电容为功放提供稳定和足够的能量，保证连续的功率输出和高功率密度；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3.前面板精确的音量旋钮控制，并具有故障、削峰、信号和电源指示灯；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4.散热高效，机器内部拥有从前到后的导风系统，风机随机内的温度自动升高而加速排热；</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5.立体声和并接的工作模式可选;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6.全面的保护功能：软启动、直流保护、过热和过载保护、防冲击、限幅；</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7.600W功放额定功率：8Ω立体声600W×2，4Ω立体声1050W×2，桥接8Ω 1950W×1；</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8.总谐波失真：&lt;0.1%；</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9.频率响应：20Hz-20kHz: +/-1dB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10.信噪比：≥100dB(A计权）；</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11.输入灵敏度：0.775V/1.0V/1.2V/1.4V 四档输入选择；</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12.输入阻抗：20kΩ平衡/ 10kΩ非平衡；</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13.阻尼系数：≥ 300(1kHz,8Ω)；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14.电压增益：≥30dB；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15.动态范围：&gt;90dB；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16.转换速率：≥35V/μs；</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17.接地悬浮开关：输入座接地脚接地和悬浮控制；</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调音台</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1.便携式不少于12路输入；</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2.2个编组设有独立输出端，使连接更灵活；</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3.内置不少于16种DSP效果；</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4.单独+48V幻象电源开关；</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5.MP3大屏播放器；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6.高品质USB音乐播放器；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7.支持无线蓝牙接收；</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8.至少设1个辅助发送，方便扩展设备；</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9.不少于1个效果发送，1个返回；</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10.60mm长寿命高分辨率推子；</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音频处理器</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1.可通过客户端软件显示前端设备输入音频产生的反馈啸叫；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2.内置中控代码生成器，无需自行套用公式编辑代码；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3.全功能矩阵混音功能，客户端软件中混音矩阵可将多个音频输入通道设置为同一通道输出，客户端软件中混音矩阵可单独调节每路音频输入通道声音的增益；</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4.内置强大的双DSP芯片工作，使系统更加稳定可靠；</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5.可通过平板或手机进行操作控制、切换多个不同场景；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6.Ethernet多用途数据传输及控制端口，可以支持实时管理单台及多台设备；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7.支持控制面板、触控面板分别通过RS485接口与设备连接，对设备进行操控，可将PC通过RJ45网络接口与设备连接，对设备进行控制；</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8.≥8 路平衡式话筒\线路输入，采用凤凰插接口；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9.≥8 路平衡式输出，采用凤凰插接口；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10.面板上支持多种音频格式的立体声播放，可扩展USB多媒体存储录制功能；</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11.支持自动混音（AM），可通过客户端软件设置混音参数，当前端设备输入的音频电平达到设定门限值时，可自动混音输出；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12.支持自动增益控制（AGC），可通过客户端软件设置音频输入通道自动增益参数，当前端音频设备输入的音频电平达到设定门限值时，可增强或衰减音频输入通道的声音；</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13.支持反馈消除（AFC），可通过客户端软件设置动态、固定、手动3种反馈消除模式;当前端输入设备产生啸叫时，通过客户端软件设置啸叫点的频率、增益和带宽的参数值，减小声反馈；</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14.支持回声消除（AEC），当前端输入设备存在回声时，可通过客户端软件对相应音频输入通道设置回声消除参数，减小前端输入设备中的回声；</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15.噪声消除（ANC），当音箱扩声出现噪声时，可通过客户端软件对相应音频输入通道的噪声抑制等级.噪声动态参数进行设置，减小前端输入设备中的噪声；</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16.输入每通道：前级放大、信号发生器、扩展器、压缩器、5段参量均衡；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17.输出每通道：31段图示均衡及8段全参量均衡切换选择、延时器、分频器、限幅器；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18.内置自动摄像跟踪功能，轻松实现视频会议，支持场景预设功能，断电自动保护记忆功能；</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19.具有多种专业音频处理模块：5段全参量均衡器，31段图示均衡器，高精准的压缩及限幅器，高灵敏的扩展及自动增益，分频器，自动混音器，延时器，矩阵混音器，分量矩阵调节器，噪声门限，静音模块，信号发生器和信号指示电平表等；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20.RS-485双向串行控制接口，可控制外部其他设备如：视频矩阵、摄像机等RS-485设备，或接收第三方RS-485控制；</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21.每个输入提供 + 48 VDC10 mA幻象电源；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22.可通过USB、Wi-Fi、TCP/IP接口和控制设备连接；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23.支持8路逻辑输入/输出，4路电压输入控制（可接继电器或模拟可调电位器）的GPIO控制接口；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24.48kHz采样频率，24-bit DSP处理器，24-bit A/D及D/A转换；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25.支持断电自动存储功能，支持通道编组、复制粘贴等功能 ；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26.输入阻抗：平衡20kΩ，非平衡10kΩ；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27.输出阻抗：平衡100Ω，非平衡50Ω；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28.输入共模抑制比：≥69dB(1kHz)；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29.输出动态范围：109dBu；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30.频率响应：20Hz-20kHz(±0.5dB)；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31.信噪比：&gt;108dB@1kHz 0dBu；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32.失真度：&lt;0.002% OUTPUT=0dBu/1kHz；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33.信道分离度：&gt;110dB（1kHz）；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34.功耗：≤45W；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35.电源:AC110V/220V 50/60Hz;</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专业音箱</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1.系统类型：≥10英寸，2分频低频反射式；</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2.额定功率：≥200W；</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3.标称阻抗：8Ω；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4.标称灵敏度（1W@1m）：≥94dB；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 最大声压级（Pmax@1m）：≥117dB；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6.频率范围(-10dB)：50Hz-20kHz；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7.频率响应(±3dB)：85Hz-20kHz；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8.标称指向性（-6dB）：70°H×100°V；</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9.换能器配置：低频驱动器10″×1，高频驱动器1.4″×1；</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10.水性环保喷涂处理；</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11.具备优良的低频阻尼特性，声染色低；</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只</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支架</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1.采用3.2mm加厚加硬钢板，用料扎实，承重力更强，单只可承重≥40KG；</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2.左右180度调节角度，向下60度调节角度，中间连接杆可伸缩调节；</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3.无级左右调节，始终保持音箱和视角垂直；</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只</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专业功放</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1.采用AB类拓扑电路技术，拥有高效率的功率转换和精良的电路布局;</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2.铁芯生产超大功率环牛电源变压器设计，采用10000μF超大电解电容为功放提供稳定和足够的能量，保证连续的功率输出和高功率密度；</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3.前面板精确的音量旋钮控制，并具有故障、削峰、信号和电源指示灯；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4.散热高效，机器内部拥有从前到后的导风系统，风机随机内的温度自动升高而加速排热；</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5.立体声和并接的工作模式可选;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6.全面的保护功能：软启动、直流保护、过热和过载保护、防冲击、限幅；</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7.400W功放额定功率：8Ω立体声400W×2，4Ω立体声650W×2；</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8.总谐波失真：&lt;0.1%；</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9.频率响应：20Hz-20kHz: +/-1dB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10.信噪比：≥100dB；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11.输入灵敏度：0.775V/1.0V/1.2V/1.4V 四档输入选择；</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12.输入阻抗：20kΩ平衡/ 10kΩ非平衡；</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13.阻尼系数：≥ 300(1kHz,8Ω)；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14.电压增益：≥30dB；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15.动态范围：&gt;90dB；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16.转换速率：≥35V/μs；</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17.接地悬浮开关：输入座接地脚接地和悬浮控制；</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抑制器</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1.不小于2英寸液晶真彩显示，中英文可选；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2.24-bit高性能A/D及D/A转换；</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3.双通道不小于18点独立高速自动陷波，快速抑制啸叫点；</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4.自动并可手动扫描啸叫点，对于啸叫点频率精确到1Hz，提升系统声压的同时保持完美音质；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5.个性化PC调试软件，USB免驱通信方式，操作方便；</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6.噪声门功能可抑制系统微弱噪声干扰；</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7.输入压缩功能，消除反馈同时更可扩展人声动态；</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8.每通道，增益-80dB到0dB；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9.设有移频工作模式，配合陷波器使用，避开复杂噪音波段；</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10.独特的面板锁功能，开机后能对机器进行限制调节。</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电源管理器</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1.可设置密码功能，更好地保护系统用电安全管理;</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2.设备内置定时开关机功能，最长可达12个月的定时时间设置;</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3.设备内置中控代码生成器，方便第三方设备进行代码编辑;</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4.设备内置远程控制，让用户能随时随地地对设备进行开启关闭操作;</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5.本设备可通过红外学习功能及IO控制功能对第三方设备进行控制;</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6.电源输出插座：8路国标10A安全滑盖插座，面板两个直通为国标10A安全滑盖插座;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7.电源输出：电源输出单相总极限负载的电流为40A ；在音频负载情况下，每路极限总电流都为20A；在纯电阻负载情况下，每路极限总电流都为10A;</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8.远程控制接口：RS485、RS232、TCP/IP、USB3.0/USB2.0、线控;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9.软件：可通过软件对设备进行编程控制的PC软件;</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10.定时功能：内置万年历，可以对设备进行日、周设备定时，每天可设置定时开关机6次;</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天线分配器</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1.无线信号放大分配系统支持1台天线分配器、2个天线组成</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2.支持多台接收机使用，让接收信号获得较佳信噪比，增加接收距离及稳定性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3.频率：450-970MHz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4.输入/输出阻抗：50Ω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5.通道：不少于2*4（8路）输出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6.显示方式：LED</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7.接口：B型母座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8.增益：≥+6dB</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无线话筒</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1.使用UHF610MHz～669.7MHz频段，应用PLL频率合成锁相环技术，频率可调，发射功率可调，避免干扰频率;</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2.集成中央处理器CPU的总线控制，配合数字液晶界面显示，操作自如，性能出众;</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3.采用多级窄带高频及中频选频滤波，充分消除干扰信号;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4.采用音频压缩扩展技术，噪音大大减少，动态范围加大;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5.设有回输啸叫抑制减弱功能，能有效减少回输啸叫;</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6.接收机采用多级高频放大，具有良好的灵敏度;</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7.多重噪音监测电路，特设ID验证系统，使之具有抗干扰特性;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8.选用优质芯片及零部件，使音质出色;</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9.可任意选配手持话筒、头戴、领夹;</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10.工作频率：610-669.7MHz;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11.调制方式：宽带FM;</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12.信道数目：≥100 个;</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13.信道间隔：300kHz;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14.频率稳定度：±0.005%;</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15.动态范围：不低于100dB;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16.最大偏移：±45kHz;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17.音频频率响应：50Hz~18kHz;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18.综合信噪比：&gt;105dB;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19.综合失真：＜0.5%;</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20.工作距离：≥80m</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21.工作环境温度：-10℃~+50℃</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13</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U段无线话筒</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1.工作频率：610-669.7MHz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2.调制方式：宽带FM</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3.信道数目：≥100 个</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4.信道间隔：300kHz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5.频率稳定度：±0.005%</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6.动态范围：不低于100dB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7.最大偏移：±45kHz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8.音频频率响应：50Hz~18kHz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9.综合信噪比：&gt;105dB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10.综合失真：＜0.5%</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11.工作距离：≥80m</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12.包含1台主机，2只头戴单元</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全数字会议系统主机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1.采用铝合金面板内嵌莫氏硬度6级触控玻璃面板，人机界面操作简便直观；</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2.系统装备≥3.8英寸LCD显示屏及操控按键，具备中、英文菜单显示，可按需订购任意语言；</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3.ISM频段，2.4G全数字跳频（FHSS）调制通讯技术，可与Wi-Fi完全共存，具备超强的抗干扰性；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4.采用128位AES Rijndael和4-8位PIN码加密保护，防止窃听和非授权访问，确保会议的私密性；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5.采用专业2.4G通讯电缆与无线收发器连接，主机可给无线收发器供电，不需另加电源；</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6.内置摄像跟踪主机板卡，可脱离视频跟踪软件及控制键盘可进行摄像跟踪设置、保存及调用；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7.系统支持VISCA、PELCO-D、PELCO-P常规控制协议，采用RS485/RS422控制方式；</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8.内置4×2路视频矩阵切换功能，可轻松管理多路视频信号，采用RCA输入输出接口；</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9.单一话筒关闭时，自动跟踪到前一个单元，全部话筒关闭时自动返回到预设全景；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10.系统具备四种工作模式（先进先出工作模式、主席专用工作模式、限时发言工作模式、限制发言工作模式），发言数量可自定义设置（可设置数量为1/2/3/4台）；</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11.系统具备开启单元的通道、ID地址码、电量实时动态显示，系统运行状态一目了然；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12.具有音量快捷设置键，可对系统输出信号进行人性化调节，防止调乱、可初始化设置；</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13.可扩展表决主机功能板卡，具有签到、投票表决、选举、评分、响应等数据管理功能；</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14.具有平衡与非平衡音频输出通道，可连接扩声设备、录音系统、远程会议、电视电话会议等；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15.内置双电源备份装置，可采用AC100V~240V国际通用电源或DC12V~17V电源适配器供电；</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音频隔离器</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1.信号接口：设备需配置 6.35mm 音频接口、RCA 莲花音频接口，兼容平衡、非平衡音频信号接入与输出；</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2.输入交流阻抗：额定交流输入阻抗 600Ω；</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3.输出交流阻抗：额定交流输出阻抗 600Ω；</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4.频率响应：频率响应范围覆盖 20Hz～20kHz，全频段信号传输无明显衰减、失真；</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5.电气隔离耐压：工频 50/60Hz 交流耐压最高不低于 1500V；</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6.绝缘电阻：直流 1000V 测试条件下，绝缘电阻≥100MΩ</w:t>
            </w:r>
            <w:r/>
          </w:p>
          <w:p>
            <w:pPr>
              <w:jc w:val="left"/>
              <w:rPr>
                <w:rFonts w:ascii="宋体" w:hAnsi="宋体" w:eastAsia="宋体"/>
                <w:color w:val="auto"/>
                <w:highlight w:val="none"/>
              </w:rPr>
            </w:pPr>
            <w:r>
              <w:rPr>
                <w:rFonts w:ascii="宋体" w:hAnsi="宋体" w:eastAsia="宋体" w:cs="宋体;SimSun"/>
                <w:color w:val="auto"/>
                <w:sz w:val="22"/>
                <w:highlight w:val="none"/>
              </w:rPr>
              <w:t xml:space="preserve">7.信号变比：输入输出信号变比为 1:1，无增益、无衰减；</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8.外壳材质：整机外壳采用拉丝铝合金材质，具备良好电磁屏蔽、抗干扰、散热及耐用性能。</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16</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主席会议话筒</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1.采用先进、稳定的芯片，DSP/DDOV数字会议技术，实现数字化信号传输与处理；</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2.采用锌铝合金话筒杆，内置≥2×14毫米高保真镀金电容式拾音头，支持双拾音头横向阵列技术；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3.咪杆采用≥32500个直径0.4mm高密度声干涉孔，精准计算孔径与间距，结合干涉校正技术精准控制拾音细节，有效提高人声频响范围拾音灵敏度；</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4.采用FTC334C专业电容式触摸感应按键处理芯片，虚拟触摸按键，开关时无机械按键声，使用寿命长；</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5.铝合金面板内嵌莫氏硬度6级触控玻璃面板，具备防水防尘功能，防止开会过程中茶水泼溅影响设备正常使用；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6.装备≥3.5"LCD高亮度显示屏，支持电量、信号、ID地址、发言计时等显示功能；</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7.具备发言计时功能，支持发言时间动态显示，支持48kHz音频采样频率，频率响应可达20Hz-20kHz；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8.采用2.4G全数字跳频（FHSS）调制通讯技术，ISM频段，通过无线收发器进行语音数据交互，确保音频延时少于5.5ms；</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9.采用128位AES Rijndael和4-8位PIN码加密保护，防止窃听和非授权访问，确保会议的私密性；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10.配合高清摄像机，可进行发言者自动跟踪并实现自动画面切换，支持画面冻结功能，支持多摄像机跟踪同一会议单元；</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11.系统具备四种工作模式，发言数量可自定义设置（可设置数量为1/2/3/4台）：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先进先出模式：达到数量限制后，再开启单元将覆盖最先开启的单元；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主席专属模式：只有主席单元才可以开启发言，代表单元将无法开启；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限时发言模式：根据实际需求设置发言时间，倒计时结束后自动关闭单元；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限制发言工作模式：达到数量限制后，其他代表单元将无法开启；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12.采用先进静电隔离技术设计，即使在干燥环境和地区也可以避免产生静电；</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13.采用性能稳定的电容式感应触摸按键，并支持手套模式；</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17</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单元会议话筒</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1.采用先进、稳定的芯片，DSP/DDOV数字会议技术，实现数字化信号传输与处理；</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2.采用锌铝合金话筒杆，内置≥2×14毫米高保真镀金电容式拾音头，支持双拾音头横向阵列技术；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3.咪杆采用≥32500个直径0.4mm高密度声干涉孔，精准计算孔径与间距，结合干涉校正技术精准控制拾音细节，有效提高人声频响范围拾音灵敏度；</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4.采用FTC334C专业电容式触摸感应按键处理芯片，虚拟触摸按键，开关时无机械按键声，使用寿命长；</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5.铝合金面板内嵌莫氏硬度6级触控玻璃面板，具备防水防尘功能，防止开会过程中茶水泼溅影响设备正常使用；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6.装备≥3.5"LCD高亮度显示屏，支持电量、信号、ID地址、发言计时等显示功能；</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7.具备发言计时功能，支持发言时间动态显示，支持48kHz音频采样频率，频率响应可达20Hz-20kHz；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8.采用2.4G全数字跳频（FHSS）调制通讯技术，ISM频段，通过无线收发器进行语音数据交互，确保音频延时少于5.5ms；</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9.采用128位AES Rijndael和4-8位PIN码加密保护，防止窃听和非授权访问，确保会议的私密性；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10.配合高清摄像机，可进行发言者自动跟踪并实现自动画面切换，支持画面冻结功能，支持多摄像机跟踪同一会议单元；</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11.系统具备四种工作模式，发言数量可自定义设置（可设置数量为1/2/3/4台）：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先进先出模式：达到数量限制后，再开启单元将覆盖最先开启的单元；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主席专属模式：只有主席单元才可以开启发言，代表单元将无法开启；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限时发言模式：根据实际需求设置发言时间，倒计时结束后自动关闭单元；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限制发言工作模式：达到数量限制后，其他代表单元将无法开启；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12.采用先进静电隔离技术设计，即使在干燥环境和地区也可以避免产生静电；</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13.采用性能稳定的电容式感应触摸按键，并支持手套模式；</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18</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发射器</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1.采用2.4-2.5G频段14dBi定向高增益平面天线，输入阻抗为50Ω；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2.内置2.4G超低功耗无线模块，具备64k数字音频采样速率，16-bit采样量化，从源头保证音质；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3.采用2.4G全数字跳频（FHSS）调制通讯技术，使用非授权限制ISM频段，全球适用不受地域限制；</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4.采用128位AES Rijndael和4-8位PIN码加密保护，防止窃听和非授权访问，确保会议的私密性；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5.包含强大的内置无线音频传输协议，利用大量共存机制避免无线会议单元遭受外界干扰；</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6.内置数字电路，可大幅度地把2.4G无线信号进行放大，从而使会议单元通讯时更加稳定；</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7.360度全方位通讯，自适应跳频，前向误差校正与重传机制，确保数据永不丢失；</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19</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充电箱</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12位USB3.0快速充电接口，可同时对12台无线会议单元进行充电；正常充电状态:LED 红色指示灯亮、绿色指示灯灭;正常充电结束:LED红色指示灯灭、绿色指示灯亮;没有连接单元时:LED红色指示灯和绿色指示灯都灭;充满电后先关闭电源开关，拔掉充电线缆即可安装使用;</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1.端口描述：≥9个10/100Mbps RJ45端口，其中≥8端口支持PoE功能。</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2.传输模式：全双工/半双工自适应</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3.网络标准：IEEE 802.3、IEEE 802.3u、IEEE 802.3x、IEEE 802.3af、IEEE 802.3at</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4.单端口PoE功率可达30W，整机最大PoE输出功率为125W。</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left"/>
              <w:rPr>
                <w:rFonts w:ascii="宋体" w:hAnsi="宋体" w:eastAsia="宋体"/>
                <w:color w:val="auto"/>
                <w:highlight w:val="none"/>
              </w:rPr>
            </w:pPr>
            <w:r>
              <w:rPr>
                <w:rFonts w:ascii="宋体" w:hAnsi="宋体" w:eastAsia="宋体" w:cs="宋体;SimSun"/>
                <w:b/>
                <w:bCs/>
                <w:color w:val="auto"/>
                <w:sz w:val="22"/>
                <w:highlight w:val="none"/>
              </w:rPr>
              <w:t xml:space="preserve">5、指挥中心远程视频会议系统</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高清视频终端</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1.采用国产嵌入式操作系统</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2.主要元器件均采用国产化，包含：音视频编解码单元、CPU 处理单元、视频输入芯片、视频输出芯片、电源模块、状态显示屏模块、时钟芯片、可编程逻辑芯片、PCB 主板等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3.支持通过无线投屏器，PC将桌面内容作为辅流发送给远端会场，视频清晰度达到4K，支持音频共享</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4.终端连接麦克风，可自动识别，即插即用，无需配置。同时支持终端与麦克风状态同步</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5.终端支持会控PAD，可通过PoE接口给会控PAD供电</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6.支持标准的 HDBase-T 视频输入接口，支持摄像机一线连接终端，支持视频、供电、控制、网络信号一线传输，支持4K30fps 超高清视频传输</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7.视频输入接口：≥3×HDMI ≥2×HDBaseT ≥1×VGA</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8.视频输出接口：≥3×HDMI ≥1×DVI</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9.音频输入接口：≥1×卡侬头（XLR接口） ≥1×3.5mm mic in/line in ≥1× 6.35mm mic in/line in ≥1×PoE MIC输入 ≥1×DH-AIAO2×RCA ≥1× HDMI（演示流音频输入）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10.音频输出接口：≥1×卡侬头（XLR接口） ≥2×RCA接口 ≥1×6.35mm line out ≥1×3.5mm line out ≥1×HDMI（支持主屏音频输出）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11.支持64kbps~10Mbps呼叫带宽，会议速率可调</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12.支持ITU-T H.323通信协议</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13.支持IETF SIP通信协议</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14.支持AVC会议和SVC会议，终端可以分别以AVC/SVC加入MCU的多方会议中。</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15.支持视频模式与语音模式，在网络状态不佳的情况下，可以手动关闭视频源，从视频模式切换成语音模式，进行语音会议。切换过程中会议不会中断。</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16.支持4K60/30/25fps、1080p60/50/30/25fps、720p60/50/30/25fps、4CIF、CIF等图像分辨率</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17.支持多种分辨率、速率和帧率的视频码流（同时发送不少于4路视频码流，接收并观看不少于35路视频码流），以适应不同线路带宽、不同设备能力、不同网络环境下的组网要求</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摄像机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配套分体式硬件会议终端使用，1/2.5英寸HD CMOS传感器，12倍光学变焦镜头，支持4K60fps超高清视频输出，支持PTZ控制，支持RTSP 4K网络拉流，视频接口1×HDMI、1×3G-SDI、1×HDBaseT，音频接口1×3.5mm：支持麦克输入、线路输入两种模式</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6、指挥中心互联网网络设备</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三层核心交换机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1.交换容量≥2.4Tbps，包转发率≥660Mpps，以官网最小值为准；</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2.固化10/100/1000M自适应电口≥24个，1G/10G SFP+光口≥8个；支持在64/128/256/512/1024/1280/1518Bytes下线速转发</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3.为保证设备在受到外界机械碰撞时能够正常运行，要求所投交换机IK防护测试级别至少达到IK05；</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4.支持RIP/RIPng，OSPFv2/v3，BGP4/4+，IS-ISv4/v6；</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5.支持VXLAN二层网桥、VXLAN三层网关，支持EVPN VXLAN；</w:t>
            </w:r>
            <w:r/>
          </w:p>
          <w:p>
            <w:pPr>
              <w:jc w:val="left"/>
              <w:rPr>
                <w:rFonts w:hint="eastAsia" w:ascii="宋体" w:hAnsi="宋体" w:eastAsia="宋体"/>
                <w:color w:val="auto"/>
                <w:highlight w:val="none"/>
              </w:rPr>
            </w:pPr>
            <w:r>
              <w:rPr>
                <w:rFonts w:ascii="宋体" w:hAnsi="宋体" w:eastAsia="宋体" w:cs="宋体;SimSun"/>
                <w:color w:val="auto"/>
                <w:sz w:val="22"/>
                <w:highlight w:val="none"/>
              </w:rPr>
              <w:t xml:space="preserve">6.配置冗余电源；</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48口接入交换机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1.交换容量≥672Gbps，包转发率≥200Mpps，以官网最小值为准；</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2.固化10/100/1000M以太网端口≥48个，固化1G/10G SFP/SFP+接口≥4个；</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3.支持24×GbE+4×10GbE 100%线速转发；</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4.支持专门针对CPU保护机制功能，可将送CPU的报文，如ARP报文的速率进行限制，使CPU的使用率降低到10%左右，保障CPU安全；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5.支持IPv4和IPv6的静态路由、RIP/RIPng、OSPFv2/OSPFv3等三层路由协议；</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6.支持sFlow网络监测技术；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企业级路由器</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1.要求固化千兆电口数量≥4个；固化2.5Gbps电口数量≥4个；固化万兆光口数量≥2个；</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2.最大整机网络吞吐≥3Gbps ，开启应用识别、流量审计、流控、负载均衡、NAT、IPsec等功能后应用吞吐≥2Gbps；</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为了实时监控关键业务状态及时发现问题并报警，优化网络资源分配，提升网络体验质量和降低管理成本，要求支持关键应用监控，包括对预置应用和自定义应用的网络体验质量监控；支持关键角色监控，包括对单IP、IP网段的网络体验质量监控;支持呈现基础服务运行质量;</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4.为了提高网络的可靠性、稳定性和用户体验，要求支持基于关键应用体验质量的链路自动化切换；</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5.所投产品URL数据库、应用分类库、地址库、内容审计特征库、支持产品十年内免费升级；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6.为增强出口安全的防护能力，要求设备支持集成IPS入侵防御功能，拥有≥17000条IPS规则；</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7.为了及时故障排查和响应安全事件，满足合规性要求，要求支持安全日志（入侵防御、病毒防护、DoS/DDoS、本地防攻击、威胁情报、DNS安全）查询和导出；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8.配置SSL VPN用户数≥200，配置无线AP管理授权≥96</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8口PoE交换机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1.固化10/100/1000M以太网电口≥8个，1G/2.5G/10G SFP+光接口≥1个；</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2.交换容量≥432Gbps，包转发率≥80Mpps；</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3.要求所投产品支持PoE和PoE+远程供电，PoE供电功率为125W；</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4.为保证设备在受到外界机械碰撞时能够正常运行，要求所投交换机IK防护测试级别至少达到IK05</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无线AP</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1.支持802.11be标准，采用双射频设计，整机空间流≥4条；</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2.整机最大接入速率≥3.57Gbps；</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3.支持2.5G以太网接口≥1个，支持2.5G SFP光口≥1个；</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4.内置蓝牙5.3；</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7、指挥中心专网网络设备</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三层核心交换机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1.交换容量≥2.4Tbps，包转发率≥660Mpps，以官网最小值为准；</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2.固化10/100/1000M自适应电口≥24个，1G/10G SFP+光口≥8个；支持在64/128/256/512/1024/1280/1518Bytes下线速转发；</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3.为保证设备在受到外界机械碰撞时能够正常运行，要求所投交换机IK防护测试级别至少达到IK05；</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4.支持RIP/RIPng，OSPFv2/v3，BGP4/4+，IS-ISv4/v6；</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5.支持VXLAN二层网桥、VXLAN三层网关，支持EVPN VXLAN；</w:t>
            </w:r>
            <w:r/>
          </w:p>
          <w:p>
            <w:pPr>
              <w:jc w:val="left"/>
              <w:rPr>
                <w:rFonts w:hint="eastAsia" w:ascii="宋体" w:hAnsi="宋体" w:eastAsia="宋体"/>
                <w:color w:val="auto"/>
                <w:highlight w:val="none"/>
              </w:rPr>
            </w:pPr>
            <w:r>
              <w:rPr>
                <w:rFonts w:ascii="宋体" w:hAnsi="宋体" w:eastAsia="宋体" w:cs="宋体;SimSun"/>
                <w:color w:val="auto"/>
                <w:sz w:val="22"/>
                <w:highlight w:val="none"/>
              </w:rPr>
              <w:t xml:space="preserve">6.配置冗余电源；</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48口接入交换机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1.交换容量≥672Gbps，包转发率≥200Mpps，以官网最小值为准；</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2.固化10/100/1000M以太网端口≥48个，固化1G/10G SFP/SFP+接口≥4个；</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3.支持24×GbE+4×10GbE 100%线速转发；</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4.支持专门针对CPU保护机制功能，可将送CPU的报文，如ARP报文的速率进行限制，使CPU的使用率降低到10%左右，保障CPU安全；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5.支持IPv4和IPv6的静态路由、OSPFv2/OSPFv3等三层路由协议；</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6.支持sFlow网络监测技术；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企业级路由器</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1.要求固化千兆电口数量≥4个；固化2.5Gbps电口数量≥4个；固化万兆光口数量≥2个；</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2.最大整机网络吞吐≥3Gbps ，开启应用识别、流量审计、流控、负载均衡、NAT、IPsec等功能后应用吞吐≥2Gbps；</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为了实时监控关键业务状态及时发现问题并报警，优化网络资源分配，提升网络体验质量和降低管理成本，要求支持关键应用监控，包括对预置应用和自定义应用的网络体验质量监控；支持关键角色监控，包括对单IP、IP网段的网络体验质量监控;支持呈现基础服务运行质量;</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4.为了提高网络的可靠性、稳定性和用户体验，要求支持基于关键应用体验质量的链路自动化切换；</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5.所投产品URL数据库、应用分类库、地址库、内容审计特征库、支持产品十年内免费升级；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6.为增强出口安全的防护能力，要求设备支持集成IPS入侵防御功能，拥有≥17000条IPS规则；</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7.为了及时故障排查和响应安全事件，满足合规性要求，要求支持安全日志（入侵防御、病毒防护、DoS/DDoS、本地防攻击、威胁情报、DNS安全）查询和导出；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8.配置SSL VPN用户数≥200，配置无线AP管理授权≥96</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8、指挥中心视频监控及门禁控制系统</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400万半球型摄像机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1.采用CMOS传感器；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2.像素≥400万；</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3.最大分辨率≥2560×1440；</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4.最低照度≤0.01 lx（彩色模式）；0.001lux（黑白模式）；0lux（补光灯开启）；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5.最大补光距离≥50m（红外）；</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6.补光灯≥2颗（红外灯）；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7.镜头类型：定焦；</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8.周界防范：绊线入侵；区域入侵；</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支持对人、机动车、全部(人或机动车)进行检测，当小狗、树叶等非人或车辆目标经过检测区域时，不会触发报警</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9.内置≥1个麦克风；</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10.报警事件：网络断开；IP冲突；非法访问；动态检测；视频遮挡；音频异常侦测；智能动检（人）；安全异常；</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11.接入标准：ONVIF（Profile S &amp; Profile T）；CGI；GB/T28181；</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12.可同时采用DC12V电源与PoE供电，当一路电源停止供电后，可正常工作；</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13.防护等级：IP67；</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开门按钮</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olor w:val="auto"/>
                <w:highlight w:val="none"/>
              </w:rPr>
              <w:t xml:space="preserve">1.可采用防火阻燃材料</w:t>
            </w:r>
            <w:r>
              <w:rPr>
                <w:rFonts w:ascii="宋体" w:hAnsi="宋体" w:eastAsia="宋体"/>
                <w:color w:val="auto"/>
                <w:highlight w:val="none"/>
              </w:rPr>
              <w:br/>
            </w:r>
            <w:r>
              <w:rPr>
                <w:rFonts w:ascii="宋体" w:hAnsi="宋体" w:eastAsia="宋体"/>
                <w:color w:val="auto"/>
                <w:highlight w:val="none"/>
              </w:rPr>
              <w:t xml:space="preserve">2.支持多种触发方式</w:t>
            </w:r>
            <w:r>
              <w:rPr>
                <w:rFonts w:ascii="宋体" w:hAnsi="宋体" w:eastAsia="宋体"/>
                <w:color w:val="auto"/>
                <w:highlight w:val="none"/>
              </w:rPr>
              <w:br/>
            </w:r>
            <w:r>
              <w:rPr>
                <w:rFonts w:ascii="宋体" w:hAnsi="宋体" w:eastAsia="宋体"/>
                <w:color w:val="auto"/>
                <w:highlight w:val="none"/>
              </w:rPr>
              <w:t xml:space="preserve">3.支持常开/常闭功能</w:t>
            </w:r>
            <w:r>
              <w:rPr>
                <w:rFonts w:ascii="宋体" w:hAnsi="宋体" w:eastAsia="宋体"/>
                <w:color w:val="auto"/>
                <w:highlight w:val="none"/>
              </w:rPr>
              <w:br/>
            </w:r>
            <w:r>
              <w:rPr>
                <w:rFonts w:ascii="宋体" w:hAnsi="宋体" w:eastAsia="宋体"/>
                <w:color w:val="auto"/>
                <w:highlight w:val="none"/>
              </w:rPr>
              <w:t xml:space="preserve">4.支持五十万次抗疲劳测试</w:t>
            </w:r>
            <w:r>
              <w:rPr>
                <w:rFonts w:ascii="宋体" w:hAnsi="宋体" w:eastAsia="宋体"/>
                <w:color w:val="auto"/>
                <w:highlight w:val="none"/>
              </w:rPr>
              <w:br/>
            </w:r>
            <w:r>
              <w:rPr>
                <w:rFonts w:ascii="宋体" w:hAnsi="宋体" w:eastAsia="宋体"/>
                <w:color w:val="auto"/>
                <w:highlight w:val="none"/>
              </w:rPr>
              <w:t xml:space="preserve">5.工作温度：-30℃~+60℃，</w:t>
            </w:r>
            <w:r>
              <w:rPr>
                <w:rFonts w:ascii="宋体" w:hAnsi="宋体" w:eastAsia="宋体" w:cs="Calibri"/>
                <w:color w:val="auto"/>
                <w:highlight w:val="none"/>
              </w:rPr>
              <w:t xml:space="preserve"> </w:t>
            </w:r>
            <w:r>
              <w:rPr>
                <w:rFonts w:ascii="宋体" w:hAnsi="宋体" w:eastAsia="宋体"/>
                <w:color w:val="auto"/>
                <w:highlight w:val="none"/>
              </w:rPr>
              <w:t xml:space="preserve">工作湿度：≤95%；</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人脸门禁一体机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hint="eastAsia" w:ascii="宋体" w:hAnsi="宋体" w:eastAsia="宋体"/>
                <w:color w:val="auto"/>
                <w:highlight w:val="none"/>
              </w:rPr>
            </w:pPr>
            <w:r>
              <w:rPr>
                <w:rFonts w:ascii="宋体" w:hAnsi="宋体" w:eastAsia="宋体"/>
                <w:color w:val="auto"/>
                <w:highlight w:val="none"/>
              </w:rPr>
              <w:t xml:space="preserve">1.设备关键器件均为国产品牌，包括主控芯片、内存、eMMC。系统采用国产化操作系统。</w:t>
            </w:r>
            <w:r>
              <w:rPr>
                <w:rFonts w:ascii="宋体" w:hAnsi="宋体" w:eastAsia="宋体"/>
                <w:color w:val="auto"/>
                <w:highlight w:val="none"/>
              </w:rPr>
              <w:br/>
            </w:r>
            <w:r>
              <w:rPr>
                <w:rFonts w:ascii="宋体" w:hAnsi="宋体" w:eastAsia="宋体"/>
                <w:color w:val="auto"/>
                <w:highlight w:val="none"/>
              </w:rPr>
              <w:t xml:space="preserve">2.采用≥7英寸液晶屏，屏幕显示分辨率达到≥1024×600</w:t>
            </w:r>
            <w:r>
              <w:rPr>
                <w:rFonts w:ascii="宋体" w:hAnsi="宋体" w:eastAsia="宋体"/>
                <w:color w:val="auto"/>
                <w:highlight w:val="none"/>
              </w:rPr>
              <w:br/>
            </w:r>
            <w:r>
              <w:rPr>
                <w:rFonts w:ascii="宋体" w:hAnsi="宋体" w:eastAsia="宋体"/>
                <w:color w:val="auto"/>
                <w:highlight w:val="none"/>
              </w:rPr>
              <w:t xml:space="preserve">3.采用≥ 200万双目摄像头</w:t>
            </w:r>
            <w:r>
              <w:rPr>
                <w:rFonts w:ascii="宋体" w:hAnsi="宋体" w:eastAsia="宋体"/>
                <w:color w:val="auto"/>
                <w:highlight w:val="none"/>
              </w:rPr>
              <w:br/>
            </w:r>
            <w:r>
              <w:rPr>
                <w:rFonts w:ascii="宋体" w:hAnsi="宋体" w:eastAsia="宋体"/>
                <w:color w:val="auto"/>
                <w:highlight w:val="none"/>
              </w:rPr>
              <w:t xml:space="preserve">4.支持自动补光，可有效降低环境光污染</w:t>
            </w:r>
            <w:r>
              <w:rPr>
                <w:rFonts w:ascii="宋体" w:hAnsi="宋体" w:eastAsia="宋体"/>
                <w:color w:val="auto"/>
                <w:highlight w:val="none"/>
              </w:rPr>
              <w:br/>
            </w:r>
            <w:r>
              <w:rPr>
                <w:rFonts w:ascii="宋体" w:hAnsi="宋体" w:eastAsia="宋体"/>
                <w:color w:val="auto"/>
                <w:highlight w:val="none"/>
              </w:rPr>
              <w:t xml:space="preserve">5.支持≥5万个用户(最大支持50个管理员)、5万张人脸、5万个密码、10万张卡片、30万条记录</w:t>
            </w:r>
            <w:r>
              <w:rPr>
                <w:rFonts w:ascii="宋体" w:hAnsi="宋体" w:eastAsia="宋体"/>
                <w:color w:val="auto"/>
                <w:highlight w:val="none"/>
              </w:rPr>
              <w:br/>
            </w:r>
            <w:r>
              <w:rPr>
                <w:rFonts w:ascii="宋体" w:hAnsi="宋体" w:eastAsia="宋体"/>
                <w:color w:val="auto"/>
                <w:highlight w:val="none"/>
              </w:rPr>
              <w:t xml:space="preserve">6.支持人脸、IC卡、CPU卡、CPU卡序列号、身份证序列号、密码、二维码（支持2.2cm*2.2cm~5cm*5cm大小且内容小于128字节的二维码）等多种识别方式，并支持多种组合识别鉴权方式</w:t>
            </w:r>
            <w:r>
              <w:rPr>
                <w:rFonts w:ascii="宋体" w:hAnsi="宋体" w:eastAsia="宋体"/>
                <w:color w:val="auto"/>
                <w:highlight w:val="none"/>
              </w:rPr>
              <w:br/>
            </w:r>
            <w:r>
              <w:rPr>
                <w:rFonts w:ascii="宋体" w:hAnsi="宋体" w:eastAsia="宋体"/>
                <w:color w:val="auto"/>
                <w:highlight w:val="none"/>
              </w:rPr>
              <w:t xml:space="preserve">7.人脸识别(人脸特征比对)速度应＜50ms </w:t>
            </w:r>
            <w:r>
              <w:rPr>
                <w:rFonts w:ascii="宋体" w:hAnsi="宋体" w:eastAsia="宋体"/>
                <w:color w:val="auto"/>
                <w:highlight w:val="none"/>
              </w:rPr>
              <w:br/>
            </w:r>
            <w:r>
              <w:rPr>
                <w:rFonts w:ascii="宋体" w:hAnsi="宋体" w:eastAsia="宋体"/>
                <w:color w:val="auto"/>
                <w:highlight w:val="none"/>
              </w:rPr>
              <w:t xml:space="preserve">8.支持活体检测功能，支持防止手机照片、打印照片和视频攻击</w:t>
            </w:r>
            <w:r>
              <w:rPr>
                <w:rFonts w:ascii="宋体" w:hAnsi="宋体" w:eastAsia="宋体"/>
                <w:color w:val="auto"/>
                <w:highlight w:val="none"/>
              </w:rPr>
              <w:br/>
            </w:r>
            <w:r>
              <w:rPr>
                <w:rFonts w:ascii="宋体" w:hAnsi="宋体" w:eastAsia="宋体"/>
                <w:color w:val="auto"/>
                <w:highlight w:val="none"/>
              </w:rPr>
              <w:t xml:space="preserve">9.支持逆光、顺光等强光场景的稳定识别，场景适应性更广</w:t>
            </w:r>
            <w:r>
              <w:rPr>
                <w:rFonts w:ascii="宋体" w:hAnsi="宋体" w:eastAsia="宋体"/>
                <w:color w:val="auto"/>
                <w:highlight w:val="none"/>
              </w:rPr>
              <w:br/>
            </w:r>
            <w:r>
              <w:rPr>
                <w:rFonts w:ascii="宋体" w:hAnsi="宋体" w:eastAsia="宋体"/>
                <w:color w:val="auto"/>
                <w:highlight w:val="none"/>
              </w:rPr>
              <w:t xml:space="preserve">10.支持胁迫报警、 防拆报警、 闯入报警、 门超时报警、非法卡超次报警、非法密码超次报警</w:t>
            </w:r>
            <w:r>
              <w:rPr>
                <w:rFonts w:ascii="宋体" w:hAnsi="宋体" w:eastAsia="宋体"/>
                <w:color w:val="auto"/>
                <w:highlight w:val="none"/>
              </w:rPr>
              <w:br/>
            </w:r>
            <w:r>
              <w:rPr>
                <w:rFonts w:ascii="宋体" w:hAnsi="宋体" w:eastAsia="宋体"/>
                <w:color w:val="auto"/>
                <w:highlight w:val="none"/>
              </w:rPr>
              <w:t xml:space="preserve">11.支持快捷呼叫功能，在快捷呼叫模式下，可点击对应的快捷键一键呼叫至对应的室内机，无需手动拨号;可自定义的快捷键数量不少于12个：快捷键的名称可自定义，可配置是否展示对应名称;</w:t>
            </w:r>
            <w:r>
              <w:rPr>
                <w:rFonts w:ascii="宋体" w:hAnsi="宋体" w:eastAsia="宋体"/>
                <w:color w:val="auto"/>
                <w:highlight w:val="none"/>
              </w:rPr>
              <w:br/>
            </w:r>
            <w:r>
              <w:rPr>
                <w:rFonts w:ascii="宋体" w:hAnsi="宋体" w:eastAsia="宋体"/>
                <w:color w:val="auto"/>
                <w:highlight w:val="none"/>
              </w:rPr>
              <w:t xml:space="preserve">12.快捷键的位置布局可通过拖曳的方式进行快捷调整 </w:t>
            </w:r>
            <w:r>
              <w:rPr>
                <w:rFonts w:ascii="宋体" w:hAnsi="宋体" w:eastAsia="宋体"/>
                <w:color w:val="auto"/>
                <w:highlight w:val="none"/>
              </w:rPr>
              <w:br/>
            </w:r>
            <w:r>
              <w:rPr>
                <w:rFonts w:ascii="宋体" w:hAnsi="宋体" w:eastAsia="宋体"/>
                <w:color w:val="auto"/>
                <w:highlight w:val="none"/>
              </w:rPr>
              <w:t xml:space="preserve">13.支持模块扩展功能（指纹、二维码、人证、人证+二维码、指纹+二维码）</w:t>
            </w:r>
            <w:r>
              <w:rPr>
                <w:rFonts w:ascii="宋体" w:hAnsi="宋体" w:eastAsia="宋体"/>
                <w:color w:val="auto"/>
                <w:highlight w:val="none"/>
              </w:rPr>
              <w:br/>
            </w:r>
            <w:r>
              <w:rPr>
                <w:rFonts w:ascii="宋体" w:hAnsi="宋体" w:eastAsia="宋体"/>
                <w:color w:val="auto"/>
                <w:highlight w:val="none"/>
              </w:rPr>
              <w:t xml:space="preserve">14.支持门铃功能</w:t>
            </w:r>
            <w:r>
              <w:rPr>
                <w:rFonts w:ascii="宋体" w:hAnsi="宋体" w:eastAsia="宋体"/>
                <w:color w:val="auto"/>
                <w:highlight w:val="none"/>
              </w:rPr>
              <w:br/>
            </w:r>
            <w:r>
              <w:rPr>
                <w:rFonts w:ascii="宋体" w:hAnsi="宋体" w:eastAsia="宋体"/>
                <w:color w:val="auto"/>
                <w:highlight w:val="none"/>
              </w:rPr>
              <w:t xml:space="preserve">15.支持语音识别，开启后可唤醒并语音控制设备</w:t>
            </w:r>
            <w:r>
              <w:rPr>
                <w:rFonts w:ascii="宋体" w:hAnsi="宋体" w:eastAsia="宋体"/>
                <w:color w:val="auto"/>
                <w:highlight w:val="none"/>
              </w:rPr>
              <w:br/>
            </w:r>
            <w:r>
              <w:rPr>
                <w:rFonts w:ascii="宋体" w:hAnsi="宋体" w:eastAsia="宋体"/>
                <w:color w:val="auto"/>
                <w:highlight w:val="none"/>
              </w:rPr>
              <w:t xml:space="preserve">16.支持视频和图片广告播放（支持5段主流MP4、AVI、DAV格式视频（单位视频大小不超出20MB）和10张主流JPG、PNG、BMP格式图片（单位图片大小不超出2MB）播放</w:t>
            </w:r>
            <w:r>
              <w:rPr>
                <w:rFonts w:ascii="宋体" w:hAnsi="宋体" w:eastAsia="宋体"/>
                <w:color w:val="auto"/>
                <w:highlight w:val="none"/>
              </w:rPr>
              <w:br/>
            </w:r>
            <w:r>
              <w:rPr>
                <w:rFonts w:ascii="宋体" w:hAnsi="宋体" w:eastAsia="宋体"/>
                <w:color w:val="auto"/>
                <w:highlight w:val="none"/>
              </w:rPr>
              <w:t xml:space="preserve">17.支持消防报警联动（需接入报警输入接口，并配置对应联动）</w:t>
            </w:r>
            <w:r>
              <w:rPr>
                <w:rFonts w:ascii="宋体" w:hAnsi="宋体" w:eastAsia="宋体"/>
                <w:color w:val="auto"/>
                <w:highlight w:val="none"/>
              </w:rPr>
              <w:br/>
            </w:r>
            <w:r>
              <w:rPr>
                <w:rFonts w:ascii="宋体" w:hAnsi="宋体" w:eastAsia="宋体"/>
                <w:color w:val="auto"/>
                <w:highlight w:val="none"/>
              </w:rPr>
              <w:t xml:space="preserve">18.支持手机NFC刷卡，且可配置使能开关</w:t>
            </w:r>
            <w:r>
              <w:rPr>
                <w:rFonts w:ascii="宋体" w:hAnsi="宋体" w:eastAsia="宋体"/>
                <w:color w:val="auto"/>
                <w:highlight w:val="none"/>
              </w:rPr>
              <w:br/>
            </w:r>
            <w:r>
              <w:rPr>
                <w:rFonts w:ascii="宋体" w:hAnsi="宋体" w:eastAsia="宋体"/>
                <w:color w:val="auto"/>
                <w:highlight w:val="none"/>
              </w:rPr>
              <w:t xml:space="preserve">19.支持电源输出，给锁供电（输出DC12V/1A）</w:t>
            </w:r>
            <w:r>
              <w:rPr>
                <w:rFonts w:ascii="宋体" w:hAnsi="宋体" w:eastAsia="宋体"/>
                <w:color w:val="auto"/>
                <w:highlight w:val="none"/>
              </w:rPr>
              <w:br/>
            </w:r>
            <w:r>
              <w:rPr>
                <w:rFonts w:ascii="宋体" w:hAnsi="宋体" w:eastAsia="宋体"/>
                <w:color w:val="auto"/>
                <w:highlight w:val="none"/>
              </w:rPr>
              <w:t xml:space="preserve">20.支持呼吸灯及三色状态提示</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成套磁力锁</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olor w:val="auto"/>
                <w:highlight w:val="none"/>
              </w:rPr>
              <w:t xml:space="preserve">1.产品款式：磁力锁；</w:t>
            </w:r>
            <w:r>
              <w:rPr>
                <w:rFonts w:ascii="宋体" w:hAnsi="宋体" w:eastAsia="宋体"/>
                <w:color w:val="auto"/>
                <w:highlight w:val="none"/>
              </w:rPr>
              <w:br/>
            </w:r>
            <w:r>
              <w:rPr>
                <w:rFonts w:ascii="宋体" w:hAnsi="宋体" w:eastAsia="宋体"/>
                <w:color w:val="auto"/>
                <w:highlight w:val="none"/>
              </w:rPr>
              <w:t xml:space="preserve">2.外壳材料：铝合金；</w:t>
            </w:r>
            <w:r>
              <w:rPr>
                <w:rFonts w:ascii="宋体" w:hAnsi="宋体" w:eastAsia="宋体"/>
                <w:color w:val="auto"/>
                <w:highlight w:val="none"/>
              </w:rPr>
              <w:br/>
            </w:r>
            <w:r>
              <w:rPr>
                <w:rFonts w:ascii="宋体" w:hAnsi="宋体" w:eastAsia="宋体"/>
                <w:color w:val="auto"/>
                <w:highlight w:val="none"/>
              </w:rPr>
              <w:t xml:space="preserve">3.表面工艺：阳极氧化；</w:t>
            </w:r>
            <w:r>
              <w:rPr>
                <w:rFonts w:ascii="宋体" w:hAnsi="宋体" w:eastAsia="宋体"/>
                <w:color w:val="auto"/>
                <w:highlight w:val="none"/>
              </w:rPr>
              <w:br/>
            </w:r>
            <w:r>
              <w:rPr>
                <w:rFonts w:ascii="宋体" w:hAnsi="宋体" w:eastAsia="宋体"/>
                <w:color w:val="auto"/>
                <w:highlight w:val="none"/>
              </w:rPr>
              <w:t xml:space="preserve">4.适用门型：木门；玻璃门；金属门；防火门；AB门；</w:t>
            </w:r>
            <w:r>
              <w:rPr>
                <w:rFonts w:ascii="宋体" w:hAnsi="宋体" w:eastAsia="宋体"/>
                <w:color w:val="auto"/>
                <w:highlight w:val="none"/>
              </w:rPr>
              <w:br/>
            </w:r>
            <w:r>
              <w:rPr>
                <w:rFonts w:ascii="宋体" w:hAnsi="宋体" w:eastAsia="宋体"/>
                <w:color w:val="auto"/>
                <w:highlight w:val="none"/>
              </w:rPr>
              <w:t xml:space="preserve">5.信号输出：COM/NO/NC；</w:t>
            </w:r>
            <w:r>
              <w:rPr>
                <w:rFonts w:ascii="宋体" w:hAnsi="宋体" w:eastAsia="宋体"/>
                <w:color w:val="auto"/>
                <w:highlight w:val="none"/>
              </w:rPr>
              <w:br/>
            </w:r>
            <w:r>
              <w:rPr>
                <w:rFonts w:ascii="宋体" w:hAnsi="宋体" w:eastAsia="宋体"/>
                <w:color w:val="auto"/>
                <w:highlight w:val="none"/>
              </w:rPr>
              <w:t xml:space="preserve">6.门状态检测：1路，继电器；</w:t>
            </w:r>
            <w:r>
              <w:rPr>
                <w:rFonts w:ascii="宋体" w:hAnsi="宋体" w:eastAsia="宋体"/>
                <w:color w:val="auto"/>
                <w:highlight w:val="none"/>
              </w:rPr>
              <w:br/>
            </w:r>
            <w:r>
              <w:rPr>
                <w:rFonts w:ascii="宋体" w:hAnsi="宋体" w:eastAsia="宋体"/>
                <w:color w:val="auto"/>
                <w:highlight w:val="none"/>
              </w:rPr>
              <w:t xml:space="preserve">7.安全类型：断电开门；</w:t>
            </w:r>
            <w:r>
              <w:rPr>
                <w:rFonts w:ascii="宋体" w:hAnsi="宋体" w:eastAsia="宋体"/>
                <w:color w:val="auto"/>
                <w:highlight w:val="none"/>
              </w:rPr>
              <w:br/>
            </w:r>
            <w:r>
              <w:rPr>
                <w:rFonts w:ascii="宋体" w:hAnsi="宋体" w:eastAsia="宋体"/>
                <w:color w:val="auto"/>
                <w:highlight w:val="none"/>
              </w:rPr>
              <w:t xml:space="preserve">8.最大拉力：220kg±10%；</w:t>
            </w:r>
            <w:r>
              <w:rPr>
                <w:rFonts w:ascii="宋体" w:hAnsi="宋体" w:eastAsia="宋体"/>
                <w:color w:val="auto"/>
                <w:highlight w:val="none"/>
              </w:rPr>
              <w:br/>
            </w:r>
            <w:r>
              <w:rPr>
                <w:rFonts w:ascii="宋体" w:hAnsi="宋体" w:eastAsia="宋体"/>
                <w:color w:val="auto"/>
                <w:highlight w:val="none"/>
              </w:rPr>
              <w:t xml:space="preserve">9.安装方式：明装</w:t>
            </w:r>
            <w:r>
              <w:rPr>
                <w:rFonts w:ascii="宋体" w:hAnsi="宋体" w:eastAsia="宋体"/>
                <w:color w:val="auto"/>
                <w:highlight w:val="none"/>
              </w:rPr>
              <w:br/>
            </w:r>
            <w:r>
              <w:rPr>
                <w:rFonts w:ascii="宋体" w:hAnsi="宋体" w:eastAsia="宋体"/>
                <w:color w:val="auto"/>
                <w:highlight w:val="none"/>
              </w:rPr>
              <w:t xml:space="preserve">10.包含支架</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硬盘录像机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1.采用工业级微控制器；嵌入式Linux操作系统；</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2.接入路数≥32路；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3.支持摄像头属性调节页面直接展示视频效果，调节效果随参数调整实时展现；</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4.后智能分析：支持后智能人脸检测、人脸识别、周界防范、智能动检；</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5.前智能分析：支持前智能人脸检测、人脸识别、视频结构化、周界防范、智能动检、立体行为分析、人像检测、人群分布、人数统计、热度图、车牌识别、车辆密度、物品监控、高空抛物检测、电瓶车入梯；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6.支持单独对算法模型文件进行升级；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7.报警≥16进6出；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8.支持断网续传功能，能对前端摄像机断网这段时间内SD卡中的录像回传到NVR；</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9.硬盘接口≥5个SATA，单盘最大20TB；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10.RS-485接口≥1个，1个半双工串行AB接口；</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11.网络接口≥2个（10M/100M/1000M以太网口，RJ-45）；</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12.支持自动记录与设备信息安全相关的日志信息，作为独立的安全日志，内容包括用户登录/登出、重要和敏感操作、安全事件等，并划分独立的记录空间存储安全日志；</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6TB硬盘</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1.单硬盘容量：6TB；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2.硬盘接口：SATA；</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3.硬盘转速：5400RPM；</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4.硬盘缓存：256MB</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16口PoE型交换机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olor w:val="auto"/>
                <w:highlight w:val="none"/>
              </w:rPr>
              <w:t xml:space="preserve">1.交换容量：≥128Gbps；</w:t>
            </w:r>
            <w:r>
              <w:rPr>
                <w:rFonts w:ascii="宋体" w:hAnsi="宋体" w:eastAsia="宋体"/>
                <w:color w:val="auto"/>
                <w:highlight w:val="none"/>
              </w:rPr>
              <w:br/>
            </w:r>
            <w:r>
              <w:rPr>
                <w:rFonts w:ascii="宋体" w:hAnsi="宋体" w:eastAsia="宋体"/>
                <w:color w:val="auto"/>
                <w:highlight w:val="none"/>
              </w:rPr>
              <w:t xml:space="preserve">2.包转发率：≥30Mpps；</w:t>
            </w:r>
            <w:r>
              <w:rPr>
                <w:rFonts w:ascii="宋体" w:hAnsi="宋体" w:eastAsia="宋体"/>
                <w:color w:val="auto"/>
                <w:highlight w:val="none"/>
              </w:rPr>
              <w:br/>
            </w:r>
            <w:r>
              <w:rPr>
                <w:rFonts w:ascii="宋体" w:hAnsi="宋体" w:eastAsia="宋体"/>
                <w:color w:val="auto"/>
                <w:highlight w:val="none"/>
              </w:rPr>
              <w:t xml:space="preserve">3.业务端口：具备≥16个10/100BASE-T电口(PoE)、2个10/100/1000BASE-T电口(Combo)、2个1000BASE-X SFP端口；</w:t>
            </w:r>
            <w:r>
              <w:rPr>
                <w:rFonts w:ascii="宋体" w:hAnsi="宋体" w:eastAsia="宋体"/>
                <w:color w:val="auto"/>
                <w:highlight w:val="none"/>
              </w:rPr>
              <w:br/>
            </w:r>
            <w:r>
              <w:rPr>
                <w:rFonts w:ascii="宋体" w:hAnsi="宋体" w:eastAsia="宋体"/>
                <w:color w:val="auto"/>
                <w:highlight w:val="none"/>
              </w:rPr>
              <w:t xml:space="preserve">4.VLAN功能：支持；</w:t>
            </w:r>
            <w:r>
              <w:rPr>
                <w:rFonts w:ascii="宋体" w:hAnsi="宋体" w:eastAsia="宋体"/>
                <w:color w:val="auto"/>
                <w:highlight w:val="none"/>
              </w:rPr>
              <w:br/>
            </w:r>
            <w:r>
              <w:rPr>
                <w:rFonts w:ascii="宋体" w:hAnsi="宋体" w:eastAsia="宋体"/>
                <w:color w:val="auto"/>
                <w:highlight w:val="none"/>
              </w:rPr>
              <w:t xml:space="preserve">5.设备管理：WEB管理、APP管理；</w:t>
            </w:r>
            <w:r>
              <w:rPr>
                <w:rFonts w:ascii="宋体" w:hAnsi="宋体" w:eastAsia="宋体"/>
                <w:color w:val="auto"/>
                <w:highlight w:val="none"/>
              </w:rPr>
              <w:br/>
            </w:r>
            <w:r>
              <w:rPr>
                <w:rFonts w:ascii="宋体" w:hAnsi="宋体" w:eastAsia="宋体"/>
                <w:color w:val="auto"/>
                <w:highlight w:val="none"/>
              </w:rPr>
              <w:t xml:space="preserve">6.PoE：Port 1-2≤90W，Port 3-16≤30W，总功率≤135W；</w:t>
            </w:r>
            <w:r>
              <w:rPr>
                <w:rFonts w:ascii="宋体" w:hAnsi="宋体" w:eastAsia="宋体"/>
                <w:color w:val="auto"/>
                <w:highlight w:val="none"/>
              </w:rPr>
              <w:br/>
            </w:r>
            <w:r>
              <w:rPr>
                <w:rFonts w:ascii="宋体" w:hAnsi="宋体" w:eastAsia="宋体"/>
                <w:color w:val="auto"/>
                <w:highlight w:val="none"/>
              </w:rPr>
              <w:t xml:space="preserve">7.散热方式：内置风扇散热；</w:t>
            </w:r>
            <w:r>
              <w:rPr>
                <w:rFonts w:ascii="宋体" w:hAnsi="宋体" w:eastAsia="宋体"/>
                <w:color w:val="auto"/>
                <w:highlight w:val="none"/>
              </w:rPr>
              <w:br/>
            </w:r>
            <w:r>
              <w:rPr>
                <w:rFonts w:ascii="宋体" w:hAnsi="宋体" w:eastAsia="宋体"/>
                <w:color w:val="auto"/>
                <w:highlight w:val="none"/>
              </w:rPr>
              <w:t xml:space="preserve">8.安装方式：桌面式、机架式安装；</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9、融合通信系统</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融合通信系统平台</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1、采用NGN架构，以IP网络作为承载网络，使用国际标准的SIP协议，具有极好的兼容性和功能可扩展性。</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2、支持高清语音编码SILK与G.729、G.711转码。</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3、支持分布式部署集群化部署，系统包括但不限于下述功能：强拆、强插、强接、禁话、广播通知、定时广播、无人值守、代接、转移坐席、桥接坐席、组呼、会议。</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4、系统支持但不限于下述视频编解码：H.261、H.263、H.264、VP8、H.265、MPEG4。</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5、参照通信调度的分级调度设计思路，支持分级调度管理，等级越高权限越大，既可以是同一调度系统多调度员，也可以多调度分机多调度员的综合管理，支持≥3级以上。</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6、支持B/S调度客户端，基于浏览器的新一代调度系统，基于WEB浏览器调度客户端，无需安装专用的客户端，打开浏览器就可以方便灵活进行指挥调度满足指挥调度需要。</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7、系统支持但不限于非关系型数据库，支持分布式部署，无缝扩容。</w:t>
            </w:r>
            <w:r/>
          </w:p>
          <w:p>
            <w:pPr>
              <w:jc w:val="left"/>
              <w:rPr>
                <w:rFonts w:ascii="宋体" w:hAnsi="宋体" w:eastAsia="宋体"/>
                <w:color w:val="auto"/>
                <w:highlight w:val="none"/>
              </w:rPr>
            </w:pPr>
            <w:r>
              <w:rPr>
                <w:rFonts w:ascii="宋体" w:hAnsi="宋体" w:eastAsia="宋体" w:cs="宋体;SimSun"/>
                <w:color w:val="auto"/>
                <w:sz w:val="22"/>
                <w:highlight w:val="none"/>
              </w:rPr>
              <w:t xml:space="preserve">8、具有丰富的接入设备保障和现有系统的无缝结合，以满足各种不同的应用场景。</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9、支持多用户管理，可以灵活设置用户的管理权限。</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10、会议调度功能：触发会议、公共会议室等。</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11、系统支持但不限于下述功能：可以对APP或者各种SIP终端、市话、手机进行发起群呼。呼叫后可以通过调度电话进行喊话通知。语音库管理：支持上传广播文件。录制语音：设置语音文件名称，输入录制号码，点击开始录音后输入的分机振铃，摘机后可以进行录制语音，录制完的语音可以试听，在广播时候可以选择该语音文件。</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12、系统支持但不限于下述功能：定时广播，选择播放的分机，选择播放的语音文件，设定播放次数，设定播放时间，可以一次播放也可以设置为周期性播放。广播管理：可以查询广播计划，试听广播语音文件，删除广播计划。</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13、系统支持但不限于下述功能：召开电话会议：选择会议室后，选择需要入会成员，召开会议。电话会议管理：实时显示会议室成员，可以加入成员和踢出成员。</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14、系统支持但不限于下述功能：菜单权限设定，级别选择、显示模式、分机ip、电话会议、呼叫记录、广播计划、无人值守、上传语音、语音库；</w:t>
            </w:r>
            <w:r/>
          </w:p>
          <w:p>
            <w:pPr>
              <w:jc w:val="left"/>
              <w:rPr>
                <w:rFonts w:ascii="宋体" w:hAnsi="宋体" w:eastAsia="宋体"/>
                <w:color w:val="auto"/>
                <w:highlight w:val="none"/>
              </w:rPr>
            </w:pPr>
            <w:r>
              <w:rPr>
                <w:rFonts w:ascii="宋体" w:hAnsi="宋体" w:eastAsia="宋体"/>
                <w:color w:val="auto"/>
                <w:highlight w:val="none"/>
              </w:rPr>
              <w:t xml:space="preserve">15、系统支持但不限于下述功能：功能权限设定，监听通话、强插通话、强抢通话、强拆通话、禁止或启用、代接来电、扩音广播、广播通知、定时广播、结束广播、加入会议、踢出成员、成员静音、结束会议。</w:t>
            </w:r>
            <w:r>
              <w:rPr>
                <w:rFonts w:ascii="宋体" w:hAnsi="宋体" w:eastAsia="宋体"/>
                <w:color w:val="auto"/>
                <w:highlight w:val="none"/>
              </w:rPr>
              <w:b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视频会商调度平台</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hint="eastAsia" w:ascii="宋体" w:hAnsi="宋体" w:eastAsia="宋体" w:cs="宋体;SimSun"/>
                <w:color w:val="auto"/>
                <w:sz w:val="22"/>
                <w:highlight w:val="none"/>
              </w:rPr>
            </w:pPr>
            <w:r>
              <w:rPr>
                <w:rFonts w:ascii="宋体" w:hAnsi="宋体" w:eastAsia="宋体" w:cs="宋体;SimSun"/>
                <w:color w:val="auto"/>
                <w:sz w:val="22"/>
                <w:highlight w:val="none"/>
              </w:rPr>
              <w:t xml:space="preserve">1、系统支持但不限于如下协议：ITU-T H.323、H.320、SIP。</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2、支持VP8与H.264不同视频编解码之间转换。</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3、基于WebRTC技术，可以在浏览器上进行视频调度操作。基于WEB视频控制功能选择成员，分屏控制等。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4、系统支持但不限于如下视频MCU相关业务功能：加入会议、踢出成员、设置分屏模式，锁定会议室等操作。</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5、支持与第三方视频会议系统的接入，可以在视频会商调度中加入现有视频会议。</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6、支持视频监控平台的视频源接入，可以在视频会商调度时调取监控画面，将监控视频加入到视频会商中。</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7、支持SIP协议IP视频话机参与应急视频会商。</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8、支持安卓移动视频终端接入视频会商中。</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9、支持无人机视频加入视频会商调度中。</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10、支持媒体转码，可以将其他格式的视频码流转换成经重新封包的H.264编码，图像更加平滑。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11、系统支持但不限于下述功能：支持在视频会商中加入手机、座机、集群和卫星等多种终端。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12、支持对视频调度过程进行录制，可以查询和回放。 </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13、提供API二次开发接口，可以被应急平台软件集成应用。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14、系统支持但不限于下述功能：视频转码功能，支持不同码率不同分辨率视频源接入，进行视频处理后进行视频融屏。支持与第三方视频会议系统的接入；支持视频监控平台的视频源接入、支持SIP协议IP视频话机参与应急视频会商、支持安卓移动视频终端接入综合接入调度。</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15、系统支持但不限于下述功能：桌面共享和视频播放，支持多媒体信号（音、视频和计算机桌面）接入视频会商调度系统中，支持在视频调度会商调度中播放视频媒体文件。</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16、 堆叠方式扩容（采用并联的方式）， 级联方式扩容（采用串联的方式） 采用全中文图形化管理界面，简单便捷，具备管理员权限。</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17、将视频流媒体资源可以接入到视频会商调度系统中。</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智能终端接入管理服务软件</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1、需支持手机、智能单兵、穿戴式单兵等智能终端接入管理，最大支持终端用户注册数≥512门；</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2、系统最大支持≥128路并发语音通话，最大支持≥64路D1并发视频通话；</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3、内置SBC，须具备NAT穿越、拓扑隐藏功能，支持终端在NAT或3G/4G等网络下使用；</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4、内置媒体服务包，支持但不限于媒体流丢包、抖动处理算法、支持码率自适应。</w:t>
            </w:r>
            <w:r/>
          </w:p>
          <w:p>
            <w:pPr>
              <w:jc w:val="left"/>
              <w:rPr>
                <w:rFonts w:ascii="宋体" w:hAnsi="宋体" w:eastAsia="宋体"/>
                <w:color w:val="auto"/>
                <w:highlight w:val="none"/>
              </w:rPr>
            </w:pPr>
            <w:r>
              <w:rPr>
                <w:rFonts w:ascii="宋体" w:hAnsi="宋体" w:eastAsia="宋体" w:cs="宋体;SimSun"/>
                <w:color w:val="auto"/>
                <w:sz w:val="22"/>
                <w:highlight w:val="none"/>
              </w:rPr>
              <w:t xml:space="preserve">5、系统支持但不限于下述功能：配合智能手机、智能单兵终端，内置APP，可提供音视频通话、即时消息、音视频会议、终端位置上报等功能。配合穿戴式单兵终端，需可提供音视频通话、过程记录等功能。</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系统支持但不限于下述即时通讯相关功能服务：对接入的客户端提供即时通讯服务能力，支持客户端之间文字聊天、发送表情、发送文件、支持群聊功能，在即时通信中可以发起呼叫和群组会议，不同调度客户端之间可以即时聊天也可以通过调度客户端与移动APP之间进行即时聊天。</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7、系统支持但不限于下述即时通讯相关功能服务：图片压缩服务，对即时聊天中发送的图片和视频自动压缩，转换。</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表情服务，在即时聊天中可以发送表情。</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8、系统支持但不限于下述即时通讯相关功能服务：文件传输服务，提供不同即时通讯客户端之间的文件传输服务支撑。</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中继网关</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1、采用嵌入式操作系统，≥8FXS+≥8FXO。</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2、系统支持但不限于下述编解码功能：支持G.711、G.729、G.723，G.726，iLBC， AMR等编码，回声消除。</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3、支持SIP TLS和SRTP加密功能。</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4、支持来电显示。</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5、灵活的拨号规则和操作，用户可以根据不同地区定制拨号的规则。</w:t>
            </w:r>
            <w:r/>
          </w:p>
          <w:p>
            <w:pPr>
              <w:jc w:val="left"/>
              <w:rPr>
                <w:rFonts w:ascii="宋体" w:hAnsi="宋体" w:eastAsia="宋体"/>
                <w:color w:val="auto"/>
                <w:highlight w:val="none"/>
              </w:rPr>
            </w:pPr>
            <w:r>
              <w:rPr>
                <w:rFonts w:ascii="宋体" w:hAnsi="宋体" w:eastAsia="宋体" w:cs="宋体;SimSun"/>
                <w:color w:val="auto"/>
                <w:sz w:val="22"/>
                <w:highlight w:val="none"/>
              </w:rPr>
              <w:t xml:space="preserve">6、灵活路由方式 PSTN-PSTN, PSTN-IP, IP-IP, IP-PSTN。</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7、冗余路由备份/选择。</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8、支持T.30、T.38协议实现IP网络上的传输传真业务。</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9、系统支持但不限于下述功能：信令、媒体、传真加密，防止干扰、窃听。</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10、支持RTP/RTCP协议，实现实时语音包封装和语音播放。</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11、支持RFC2833协议，实现DTMF信号在IP网络的传输。</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12、支持本地、远程WEB页面管理。</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13、支持本地、远程Telnet命令行管理。</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14、支持语音活动检测(VAD)、舒适噪音生成(CNG)、回声消除（Echo Cancellation）。</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15、支持双音多频信号（DTMF）生成/检测、主叫号码（Caller ID）生成检测功能。</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16、支持灵活的输入/输出增益控制。</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音频接入网关</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1.标准1U机架设备。</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2.配备不少于4路音频接口，单台设备配备：不少于两路莲花输入（左右声道）、不少于两路莲花输出（左右声道）；不少于两路6.35输入、不少于2路6.35输出；不少于两路卡农头输入、不少于两路卡农头输出。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3.多个设备堆叠使用时互不干扰；</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4、有效解决融合通信声音接入数字音频调音台的阻抗匹配问题。；</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无线接入网关</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1、标准1U设备。</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2、可提供标准反极信号，提供DTMF格式的来电显示。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3、可设置允许或禁止来电。</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4、可作为PBX入中继。</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5、对本地固话、国内长途、国际长途可分别加拨预设的本地区号、国内IP接入号、国际IP接入号。</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6、可以设置在拨出号码前加特别号码。</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单台设备支持插入≥8张4G卡，并且在每一张SIM卡在机箱上都有对应的一组无线信号强弱指示灯（共计≥8组），在机箱上每一张SIM卡旁边都有对应的开关按钮物理按键（共计≥8个），在机箱上每一张SIM卡旁边都有对应的电源指示灯（共计≥8个）、在机箱上每一张SIM卡旁边都有对应的状态指示灯（共计≥8个）。同时提供≥16个RJ11电话接口，每一路SIM卡无线线路对应≥2个RJ11有线接口。</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集群网关</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集群网关是将传统制式的对讲集群系统融合进入智慧融合调度系统，实现基于IP的调度终端与传统对讲机之间的双向语音通信功能，打通集群对讲信息孤岛，实现指挥中心与现场人员的双向语音通信功能。</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1、可接入集群对讲系统，通过SIP协议实现其与调度系统的连接。</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2、支持WEB网络配置各无线参数及SIP线路参数。</w:t>
            </w:r>
            <w:r/>
          </w:p>
          <w:p>
            <w:pPr>
              <w:jc w:val="left"/>
              <w:rPr>
                <w:rFonts w:ascii="宋体" w:hAnsi="宋体" w:eastAsia="宋体"/>
                <w:color w:val="auto"/>
                <w:highlight w:val="none"/>
              </w:rPr>
            </w:pPr>
            <w:r>
              <w:rPr>
                <w:rFonts w:ascii="宋体" w:hAnsi="宋体" w:eastAsia="宋体" w:cs="宋体;SimSun"/>
                <w:color w:val="auto"/>
                <w:sz w:val="22"/>
                <w:highlight w:val="none"/>
              </w:rPr>
              <w:t xml:space="preserve">3、支持SIP标准协议及多种扩展字段。</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4、默认自动接听通话 (自动应答)，支持快速拨号。</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5、配置导出/导入，支持软件升级，具有系统工作日志。</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6、标准1U设备、220V供电，具有≥1个USB 2.0接口和≥1个TF卡槽，用于数据存储或离线升级，机箱面板具有指示灯≥3个分别为(电源指示灯、SIP 通话状态、对讲机通话状态)，机箱上带有SMA接头可以连接延长天线。</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7.语音编码：支持ALAW、ULAW 、G.729 、G.723；最大功耗≤10W；热线号码可设定；支持信令端口设置；RTP端口范围可设定；RTP包长度可设定：PTTIN低电位有效值：≤0.7V，PTTOUT高电位输出：≧5V。</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车载台</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1.具备PDT数字集群与常规、DMR集群与常规、模拟常规等工作模式；</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2.频率范围： UHF:440-470MHz；</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3.信道容量：≥1024, 组群/区域数量≥64；</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4.信道间隔：12.5kHz/25kHz ；</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5.多址方式：TDMA；调制方式：支持4FSK；</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6.防护等级：≥IP54；</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7.发射功率： ≥25W，高低功率可调；</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8.屏幕尺寸：≥2.8英寸IPS彩色屏幕(分辨率320*240)，中文显示；</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对讲机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频道式对讲机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支持多重加密防扰功能，包括动态加密、静态加密、AES256/ARC4高级算法加密，可以有效地防止信号被窃听和干扰，层层保障用户的通信安全，让用户可以 更加安心地进行通信。</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频率范围(可选) UHF:400-480 MHz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信道总数 ≥ 1024</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电池容量 ≥ 2000 mAh</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最大音频输出功率 ≥1.5W</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FM噪声 ≤ -40dB</w:t>
            </w:r>
            <w:r/>
          </w:p>
          <w:p>
            <w:pPr>
              <w:jc w:val="left"/>
              <w:rPr>
                <w:rFonts w:hint="eastAsia" w:ascii="宋体" w:hAnsi="宋体" w:eastAsia="宋体" w:cs="宋体;SimSun"/>
                <w:color w:val="auto"/>
                <w:sz w:val="22"/>
                <w:highlight w:val="none"/>
              </w:rPr>
            </w:pPr>
            <w:r>
              <w:rPr>
                <w:rFonts w:ascii="宋体" w:hAnsi="宋体" w:eastAsia="宋体" w:cs="宋体;SimSun"/>
                <w:color w:val="auto"/>
                <w:sz w:val="22"/>
                <w:highlight w:val="none"/>
              </w:rPr>
              <w:t xml:space="preserve">频道式对讲机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支持多重加密防扰功能，包括动态加密、静态加密、AES256/ARC4高级算法加密，可以有效地防止信号被窃听和干扰，层层保障用户的通信安全，让用户可以 更加安心地进行通信。</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频率范围(可选) UHF:400-480 MHz</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信道总数 ≥ 1024</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电池容量 ≥ 2000 mAh</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最大音频输出功率 ≥1.5W</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FM噪声 ≤ -40dB</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中继台</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中继台：</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 频率范围：400-480MHz；</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 信道容量：≥99个；</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 信道间隔：12.5kHz/25kHz ；</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 结构：19英寸标准机架式，≤2U标准机架式一体化结构，支持内置双工器，内置电源;</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5.散热：内置散热风扇主动降温；</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 交互：面板支持USB编程接口维护与配置，采用高稳定性数码管显示屏，显示故障告警;</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 扩展能力；具备IP互联、同频同播功能，支持多设备联网组播，可通过控制器无限扩展覆盖范围；</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天线：</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频率范围 400-470MHz ;</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极化方式 垂直;</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避雷保护 直流接地;</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视频融合网关</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1、视频监控网关，用于接入视频监控系统的视频资源。</w:t>
            </w:r>
            <w:r/>
          </w:p>
          <w:p>
            <w:pPr>
              <w:jc w:val="left"/>
              <w:rPr>
                <w:rFonts w:ascii="宋体" w:hAnsi="宋体" w:eastAsia="宋体"/>
                <w:color w:val="auto"/>
                <w:highlight w:val="none"/>
              </w:rPr>
            </w:pPr>
            <w:r>
              <w:rPr>
                <w:rFonts w:ascii="宋体" w:hAnsi="宋体" w:eastAsia="宋体" w:cs="宋体;SimSun"/>
                <w:color w:val="auto"/>
                <w:sz w:val="22"/>
                <w:highlight w:val="none"/>
              </w:rPr>
              <w:t xml:space="preserve">2、系统支持但不限于下述分辨率：720p、1080p多种分辨率。</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3、系统支持但不限于H.264等视频格式。</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4、系统支持但不限于国标（GB28181）监控平台的接入管理。</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5、支持媒体流信号的转码；支持标准SIP协议。</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6、接入后可以实现IP视频话机和移动APP直接呼叫查看视频监控画面。</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7、视频会商调度中加入监控画面。</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8、兼容主流数字监控设备，支持包括但不限于海康、大华等主流厂家的DVR、编解码器、IP摄像机等数字监控产品。</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9、采用开放式设计，提供开放的接口，可以根据用户的需求进行定制开发，支持特定的设备接入。</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10、运行状态：运行状态模块是显示网关服务器各种运行状态的信息。</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11、系统支持但不限于下述转码功能：有些设备支持的分辨率较低，如果收到的是高分辨率的视频就有可能出现图像卡或者无图像的情况，所以需要用转码器将视频进行转码，以适应设备的要求。</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12、号码变换：主叫转码策略用于设置某个主叫号码的分辨率，即该主叫号码发起的呼叫由转码器重新编码为设置的分辨率。</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13、系统支持但不限于下述日志管理：日志管理模块提供对用户日志、系统日志、调试日志的查询、导出。</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视频终端</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1、主机支持但不限于4K编码、4K合成HDMI输出。</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2、系统支持但不限于下述协议：支持TCP/UDP/RTSP/RTP/RTMP/ONVIF/H.323/SIP/TS协议。</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 主机须采用嵌入式DSP纯硬件架构；能够7*24小时工作；系统支持但不限于下述功能：编码、解码、录制、存储、无缝切换等功能。</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4、前面板带LCD液晶屏，支持视频输出画面预览功能，系统支持但不限于下述接口:设备具有≥6路SDI输入接口和≥2路HDMI输入接口。设备具有≥2路HDMI输出，≥1路VGA输出，≥3路音频输入接口，≥3路音频输出接口。</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5、系统支持但不限于下述解码分辨率：720p、1080p、1920x1200，1280×800，1440x900，1366x768，1280x1024，1024x768，800x600。</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5、系统支持但不限于下述 控制接口：≥8路RS232/RS485/RS422控制接口，≥4路USB接口。</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 存储：标配1个≥1TB硬盘，具备对单个视频文件查看、下载、删除等功能；</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 系统支持但不限于下述功能：视频切换、音频调整，直播/录制、暂停等控制，字幕、点播、系统设置等功能；</w:t>
            </w:r>
            <w:r/>
          </w:p>
          <w:p>
            <w:pPr>
              <w:jc w:val="left"/>
              <w:rPr>
                <w:rFonts w:ascii="宋体" w:hAnsi="宋体" w:eastAsia="宋体"/>
                <w:color w:val="auto"/>
                <w:highlight w:val="none"/>
              </w:rPr>
            </w:pPr>
            <w:r>
              <w:rPr>
                <w:rFonts w:ascii="宋体" w:hAnsi="宋体" w:eastAsia="宋体" w:cs="宋体;SimSun"/>
                <w:color w:val="auto"/>
                <w:sz w:val="22"/>
                <w:highlight w:val="none"/>
              </w:rPr>
              <w:t xml:space="preserve">8、 系统支持但不限于下述功能：录制方式支持人工导播切换控制或与自动跟踪系统无缝组合，实现全自动录制；</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9、 系统支持但不限于下述功能：实时显示录制信息，包括录制时长、视频分辨率、主机IP等信息；并要求能够显示硬盘容量；</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10、 主机自带点播功能，支持多人同时点播主机录像。</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13</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防爆单兵</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1、触摸屏尺寸≥5.0英寸，触摸屏分辨率≥480×854；</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2、前像素≥500W，后像素≥1300W，配置大喇叭；</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3、电池容量：≥3700mAh；</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小型移动指挥平台</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主要特征：</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 内置4 /5G无线传输，4G、5G全兼容；</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2、图像传感器：1/2.8英寸CMOS；传感器总像素约242万像素；</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3、水平解析度≥1000TVL；</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4、最大图像尺寸1920×1080；支持3D降噪；</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5、信噪比≥55dB；</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6、电子快门支持1/25～1/100000秒；支持慢快门；支持电子防抖，支持透雾功能，支持背光补偿，支持宽动态，支持强光抑制，数字变倍≥16倍，光学变倍≥33倍；</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7、聚焦模式自动/半自动/手动，变倍速度：大约 3.5 秒(光学， 广角-望远) ，视场角优于60.5～2.3度（广角-望远）；</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8、内置Wi-Fi无线传输；</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9、内置GPS或北斗定位；</w:t>
            </w:r>
            <w:r/>
          </w:p>
          <w:p>
            <w:pPr>
              <w:jc w:val="left"/>
              <w:rPr>
                <w:rFonts w:ascii="宋体" w:hAnsi="宋体" w:eastAsia="宋体"/>
                <w:color w:val="auto"/>
                <w:highlight w:val="none"/>
              </w:rPr>
            </w:pPr>
            <w:r>
              <w:rPr>
                <w:rFonts w:ascii="宋体" w:hAnsi="宋体" w:eastAsia="宋体" w:cs="宋体;SimSun"/>
                <w:color w:val="auto"/>
                <w:sz w:val="22"/>
                <w:highlight w:val="none"/>
              </w:rPr>
              <w:t xml:space="preserve">10、采用大容量锂电池，支持≥10小时续航能力，支持电量显示；</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11、内置扬声器，拾音器，实现双向语音对讲；</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12、提手设计，强磁底盘，方便拆卸和安装；</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13、帽檐设计，可以使画面更清晰；</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14、镁合金结构，重量更轻，韧性更强；</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15、防水等级≥IP66；</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16、系统支持但不限于主码流分辨率及帧率：50Hz: 25fps(1920×1080,1280×960,1280×720)，60Hz: 30fps(1920×1080,1280×960,1280×720)；</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17、系统支持但不限于视频编解码，H.265/H.264/MJPEG；</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18、支持区域曝光/聚焦；</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触摸屏调度台</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1、桌面式或者壁挂式一体式机箱，铝合金面板。</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2、≥23寸液晶屏-宽视角；最大分辨率1920×1080 显示比例16:9；电容感应式触摸屏。</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3、双手柄调度台，内置定制话机≥2个。</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4、I/O接口：≥1*RJ45， ≥4*USB、≥2*RJ45网口、≥1*AUDIO、≥1*RS232；</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5、内置定制话机≥2个，命令查询IP，一键免提。</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6、触点触摸精度≤±1mm。</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7、≥1个VGA接口，≥HDMI接口。</w:t>
            </w:r>
            <w:r/>
          </w:p>
          <w:p>
            <w:pPr>
              <w:jc w:val="left"/>
              <w:rPr>
                <w:rFonts w:ascii="宋体" w:hAnsi="宋体" w:eastAsia="宋体"/>
                <w:color w:val="auto"/>
                <w:highlight w:val="none"/>
              </w:rPr>
            </w:pPr>
            <w:r>
              <w:rPr>
                <w:rFonts w:ascii="宋体" w:hAnsi="宋体" w:eastAsia="宋体" w:cs="宋体;SimSun"/>
                <w:color w:val="auto"/>
                <w:sz w:val="22"/>
                <w:highlight w:val="none"/>
              </w:rPr>
              <w:t xml:space="preserve">8、调度台软件包括但不限于具有无人值守、分机接管、监听通话、通讯录、共享屏幕等功能。</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16</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调度台配套音频终端</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hint="eastAsia" w:ascii="宋体" w:hAnsi="宋体" w:eastAsia="宋体" w:cs="宋体;SimSun"/>
                <w:color w:val="auto"/>
                <w:sz w:val="22"/>
                <w:highlight w:val="none"/>
              </w:rPr>
            </w:pPr>
            <w:r>
              <w:rPr>
                <w:rFonts w:ascii="宋体" w:hAnsi="宋体" w:eastAsia="宋体" w:cs="宋体;SimSun"/>
                <w:color w:val="auto"/>
                <w:sz w:val="22"/>
                <w:highlight w:val="none"/>
              </w:rPr>
              <w:t xml:space="preserve">1、内置高保真扬声器。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2、彩色 LCD，≥128x160 像素。</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3、具有USB接口将电脑声音接入会场；</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4、耳机扩音: ≥1个3.5毫米接线口。</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5、内置蓝牙，可以与具备蓝牙免提或耳机设备相连接。</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6、电池: 可充电电池提供3小时以上通话时长。</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7、通过 USB 供电和为电池充电。</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8、≥1000 mAh 锂离子电池。</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9、可以显示电池电量。</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10、待机 电池可持续 ≥72 小时通话 电池可持续 ≥12 小时。</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17</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视频IP话机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1、系统支持但不限于主视频编解码：H.264 High profile。</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2、≥8英寸 ，≥1280×800 像素的彩色触控显示屏。</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3、≥27 个触控记忆键，≥6 个 SIP 账号。</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4、支持通话录音及无线 USB 耳机。</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5、USB 接口≥2个。</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6、网络接口，≥2个1000M接口。</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7、手柄接口RJ-9。</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8、耳机接口RJ-9。</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9、系统支持但不限于编解码：G.711(A/µ), G.729A/B, G.726, G.723.1, iLBC。</w:t>
            </w:r>
            <w:r/>
          </w:p>
          <w:p>
            <w:pPr>
              <w:jc w:val="left"/>
              <w:rPr>
                <w:rFonts w:ascii="宋体" w:hAnsi="宋体" w:eastAsia="宋体"/>
                <w:color w:val="auto"/>
                <w:highlight w:val="none"/>
              </w:rPr>
            </w:pPr>
            <w:r>
              <w:rPr>
                <w:rFonts w:ascii="宋体" w:hAnsi="宋体" w:eastAsia="宋体" w:cs="宋体;SimSun"/>
                <w:color w:val="auto"/>
                <w:sz w:val="22"/>
                <w:highlight w:val="none"/>
              </w:rPr>
              <w:t xml:space="preserve">10、PoE供电：内置PoE。</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11、内置蓝牙。</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12、系统支持但不限于下述功能：音频通话、视频通话、呼叫保持、呼叫转移，通话排队能力，含来电呼叫、去电呼叫、通话中的呼叫。</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19</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短信服务</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提供短信群发通道和短信群发服务，包含≥30000条短信服务，提供短信二次开发接口和服务支持。</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第三方业务开发接口模块</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1、提供多种接口方式，支持包括WebSocket、HTTP、apache-activemq但不限于上述模式，为平台软件推送消息，可以实现通讯录同步、语音呼叫、呼叫记录、录音、会议、广播、点击呼叫视频会议控制等二次开发功能。</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集成开发后可以通过平台软件实现音视频调度，在业务平台软件上可以实现与APP的即时聊天：发送和接收文字、图片、语音、视频等即时通讯功能，同步通讯录，支持音视频呼叫和视频会议，支持以B/S页面方式嵌入到业务系统软件。</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3、预留接口与上级管理对接，实现数据共享和业务协调。</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10、易燃易爆有毒有害气体泄漏监测设备（用于监测金桥丰益氯碱（连云港）有限公司氯气泄漏）</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氯气泄漏监测设备</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采用电化学传感器，检测量程0～20ppm；整机防护等级不低于IP67，满足现场防尘防水使用需求；产品防爆等级不低于Ex ib ⅡB T4 Gb，适用于化工易燃易爆危险场所安装使用；支持第三方平台对接，满足化工园区管理平台监测要求。</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数据云平台</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接收、处理、转发监测数据</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设备对接服务</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对接设备监测数据至园区管理平台</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辅材及安装</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立杆、防撞护栏、抱箍、螺丝、水泥、沙土等，安装、调试。</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 xml:space="preserve">11、其他设备</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移动布控球套装</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防爆等级：Ex db ib IIC T6 Gb/Ex ib tb IIIC T80°C Db，适用1区、2区所有气体环境。</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400万分辨率</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内置麦克风、扬声器</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支持对接气体传感器，及时上报环境内易燃易爆及有害气体状态</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支持AI检测，如入侵、安全帽佩戴、在离岗、抽烟、打电话等行为检测</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设备自带显示屏，可展示电池电量、联网状态等</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套装中需包含布控球摄像机设备、电池、适配器、线缆、三脚架、可移动式拉杆箱</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气体监测设备</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olor w:val="auto"/>
                <w:highlight w:val="none"/>
              </w:rPr>
            </w:pPr>
            <w:r>
              <w:rPr>
                <w:rFonts w:ascii="宋体" w:hAnsi="宋体" w:eastAsia="宋体" w:cs="宋体;SimSun"/>
                <w:color w:val="auto"/>
                <w:sz w:val="22"/>
                <w:highlight w:val="none"/>
              </w:rPr>
              <w:t xml:space="preserve">支持检测氧气、甲烷、一氧化碳、硫化氢，其他有毒有害气体可定制选配</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支持与布控球设备对接，上传气体检测数值</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支持数据记录</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供电方式：电池供电</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具备指示灯</w:t>
            </w:r>
            <w:r>
              <w:rPr>
                <w:rFonts w:ascii="宋体" w:hAnsi="宋体" w:eastAsia="宋体" w:cs="宋体;SimSun"/>
                <w:color w:val="auto"/>
                <w:sz w:val="22"/>
                <w:highlight w:val="none"/>
              </w:rPr>
              <w:br/>
            </w:r>
            <w:r>
              <w:rPr>
                <w:rFonts w:ascii="宋体" w:hAnsi="宋体" w:eastAsia="宋体" w:cs="宋体;SimSun"/>
                <w:color w:val="auto"/>
                <w:sz w:val="22"/>
                <w:highlight w:val="none"/>
              </w:rPr>
              <w:t xml:space="preserve">防爆等级：Ex ib ⅡC T3 Gb,Ex ib ⅢC T3（最高表面温度≤195℃） Db</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危化品运输车辆定位终端</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危化品运输车辆定位终端+3年流量卡。</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200</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工业数据采集物联工控机</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1.运行内存不低于16GB，存储不低于256GB</w:t>
            </w:r>
            <w:r/>
          </w:p>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2.设备应具备数据传输保障能力，可对接园区内企业各品牌DCS、PLC、气体报警主机等现场设备及业务系统，实时采集温度、压力、液位、可燃气体、有毒有害气体浓度等监测数据。</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0"/>
                <w:szCs w:val="20"/>
                <w:highlight w:val="none"/>
              </w:rPr>
            </w:pPr>
            <w:r>
              <w:rPr>
                <w:rFonts w:ascii="宋体" w:hAnsi="宋体" w:eastAsia="宋体" w:cs="宋体;SimSun"/>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0"/>
                <w:szCs w:val="20"/>
                <w:highlight w:val="none"/>
              </w:rPr>
            </w:pPr>
            <w:r>
              <w:rPr>
                <w:rFonts w:ascii="宋体" w:hAnsi="宋体" w:eastAsia="宋体" w:cs="宋体;SimSun"/>
                <w:color w:val="auto"/>
                <w:sz w:val="20"/>
                <w:szCs w:val="20"/>
                <w:highlight w:val="none"/>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施工辅材</w:t>
            </w:r>
            <w:r/>
          </w:p>
        </w:tc>
        <w:tc>
          <w:tcPr>
            <w:tcBorders>
              <w:top w:val="single" w:color="000000" w:sz="4" w:space="0"/>
              <w:left w:val="single" w:color="000000" w:sz="4" w:space="0"/>
              <w:bottom w:val="single" w:color="000000" w:sz="4" w:space="0"/>
              <w:right w:val="single" w:color="000000" w:sz="4" w:space="0"/>
            </w:tcBorders>
            <w:tcW w:w="8406" w:type="dxa"/>
            <w:vAlign w:val="center"/>
            <w:textDirection w:val="lrTb"/>
            <w:noWrap w:val="false"/>
          </w:tcPr>
          <w:p>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包含现场施工所需交换机、电源插排、网线、扩展网口、串口服务器等。</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ascii="宋体" w:hAnsi="宋体" w:eastAsia="宋体" w:cs="宋体;SimSun"/>
                <w:color w:val="auto"/>
                <w:sz w:val="20"/>
                <w:szCs w:val="20"/>
                <w:highlight w:val="none"/>
              </w:rPr>
            </w:pPr>
            <w:r>
              <w:rPr>
                <w:rFonts w:ascii="宋体" w:hAnsi="宋体" w:eastAsia="宋体" w:cs="宋体;SimSun"/>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eastAsia="宋体" w:cs="宋体;SimSun"/>
                <w:color w:val="auto"/>
                <w:sz w:val="20"/>
                <w:szCs w:val="20"/>
                <w:highlight w:val="none"/>
              </w:rPr>
            </w:pPr>
            <w:r>
              <w:rPr>
                <w:rFonts w:ascii="宋体" w:hAnsi="宋体" w:eastAsia="宋体" w:cs="宋体;SimSun"/>
                <w:color w:val="auto"/>
                <w:sz w:val="20"/>
                <w:szCs w:val="20"/>
                <w:highlight w:val="none"/>
              </w:rPr>
              <w:t xml:space="preserve">套</w:t>
            </w:r>
            <w:r/>
          </w:p>
        </w:tc>
      </w:tr>
    </w:tbl>
    <w:p>
      <w:pPr>
        <w:pStyle w:val="1127"/>
        <w:rPr>
          <w:rFonts w:ascii="宋体;SimSun" w:hAnsi="宋体;SimSun" w:cs="宋体;SimSun"/>
          <w:color w:val="auto"/>
          <w:highlight w:val="none"/>
        </w:rPr>
      </w:pPr>
      <w:r>
        <w:rPr>
          <w:rFonts w:ascii="宋体;SimSun" w:hAnsi="宋体;SimSun" w:cs="宋体;SimSun"/>
          <w:color w:val="auto"/>
          <w:highlight w:val="none"/>
        </w:rPr>
      </w:r>
      <w:r/>
    </w:p>
    <w:p>
      <w:pPr>
        <w:numPr>
          <w:ilvl w:val="0"/>
          <w:numId w:val="3"/>
        </w:numPr>
        <w:ind w:left="420"/>
        <w:spacing w:line="360" w:lineRule="auto"/>
        <w:rPr>
          <w:rFonts w:ascii="宋体;SimSun" w:hAnsi="宋体;SimSun" w:eastAsia="宋体;SimSun" w:cs="宋体;SimSun"/>
          <w:b/>
          <w:bCs/>
          <w:color w:val="auto"/>
          <w:sz w:val="24"/>
          <w:szCs w:val="24"/>
          <w:highlight w:val="none"/>
        </w:rPr>
        <w:outlineLvl w:val="1"/>
      </w:pPr>
      <w:r>
        <w:rPr>
          <w:rFonts w:ascii="宋体;SimSun" w:hAnsi="宋体;SimSun" w:eastAsia="宋体;SimSun" w:cs="宋体;SimSun"/>
          <w:b/>
          <w:bCs/>
          <w:color w:val="auto"/>
          <w:sz w:val="24"/>
          <w:szCs w:val="24"/>
          <w:highlight w:val="none"/>
        </w:rPr>
        <w:t xml:space="preserve">指挥中心装修及配套需求</w:t>
      </w:r>
      <w:r/>
    </w:p>
    <w:p>
      <w:pPr>
        <w:ind w:firstLine="420"/>
        <w:spacing w:line="360" w:lineRule="auto"/>
        <w:rPr>
          <w:color w:val="auto"/>
          <w:highlight w:val="none"/>
        </w:rPr>
      </w:pPr>
      <w:r>
        <w:rPr>
          <w:color w:val="auto"/>
          <w:highlight w:val="none"/>
        </w:rPr>
        <w:t xml:space="preserve">本项目需改造指挥中心，包含装修、强电系统、弱电系统、空调系统、给排水、消防改造及报警等。指挥中心装修及配套需求清单如下：</w:t>
      </w:r>
      <w:r/>
    </w:p>
    <w:tbl>
      <w:tblPr>
        <w:tblStyle w:val="1006"/>
        <w:tblW w:w="5000" w:type="pct"/>
        <w:tblInd w:w="-113" w:type="dxa"/>
        <w:tblLayout w:type="fixed"/>
        <w:tblCellMar>
          <w:left w:w="108" w:type="dxa"/>
          <w:top w:w="0" w:type="dxa"/>
          <w:right w:w="108" w:type="dxa"/>
          <w:bottom w:w="0" w:type="dxa"/>
        </w:tblCellMar>
        <w:tblLook w:val="04A0" w:firstRow="1" w:lastRow="0" w:firstColumn="1" w:lastColumn="0" w:noHBand="0" w:noVBand="1"/>
      </w:tblPr>
      <w:tblGrid>
        <w:gridCol w:w="1221"/>
        <w:gridCol w:w="4209"/>
        <w:gridCol w:w="5212"/>
        <w:gridCol w:w="2147"/>
        <w:gridCol w:w="1384"/>
      </w:tblGrid>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服务名称</w:t>
            </w:r>
            <w:r/>
          </w:p>
        </w:tc>
        <w:tc>
          <w:tcPr>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特征描述</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单位</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Ⅰ、装修工程</w:t>
            </w:r>
            <w:r/>
          </w:p>
        </w:tc>
        <w:tc>
          <w:tcPr>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一、拆除及新建部分</w:t>
            </w:r>
            <w:r/>
          </w:p>
        </w:tc>
        <w:tc>
          <w:tcPr>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楼地面水泥砂浆层拆除</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1.拆除厚度为50mm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新建200厚砖砌墙体</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1.砌块品种、规格、强度等级：A5.0蒸压加气混凝土砌块（600mm×200mm×250mm）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2.墙体类型：内墙</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3.墙体厚度：200mm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4.砂浆强度等级：M5专用砌筑砂浆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5.拉结方式：φ6钢筋网片@600mm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6.顶部处理：20mm厚干硬性水泥砂浆塞缝</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7.其他：含门窗洞口预制混凝土过梁（C20） m³及构造柱</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m³</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新建100厚砖砌墙体</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1.砌块品种、规格、强度等级：A5.0蒸压加气混凝土砌块（600mm×100mm×250mm）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2.墙体类型：内墙</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3.墙体厚度：100mm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4.砂浆强度等级：M5专用砌筑砂浆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5.拉结方式：φ6钢筋网片@600mm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6.顶部处理：20mm厚干硬性水泥砂浆塞缝</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7.其他：含门窗洞口预制混凝土过梁（C20）m³及构造柱</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m³</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内墙抹灰</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1.基层类型：蒸压加气混凝土砌块墙</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2.基层处理：清理浮灰，1:3水泥砂浆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3.抹灰厚度：总厚度15mm挂玻纤网</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386</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构造柱</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1.混凝土种类:预拌</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2.混凝土强度等级:C25</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m³</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过梁</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1.混凝土种类:预拌</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2.混凝土强度等级:C25</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0.2016</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m³</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二、装饰部分</w:t>
            </w:r>
            <w:r/>
          </w:p>
        </w:tc>
        <w:tc>
          <w:tcPr>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（一）地面工程部分</w:t>
            </w:r>
            <w:r/>
          </w:p>
        </w:tc>
        <w:tc>
          <w:tcPr>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块料楼地面</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1.结合层厚度、砂浆配合比1:3干硬性水泥砂浆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2.面层材料品种、规格、颜色:800mm×800mm仿水磨石瓷砖</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color w:val="auto"/>
                <w:highlight w:val="none"/>
              </w:rPr>
            </w:pPr>
            <w:r>
              <w:rPr>
                <w:rFonts w:ascii="宋体;SimSun" w:hAnsi="宋体;SimSun" w:eastAsia="宋体;SimSun" w:cs="宋体;SimSun"/>
                <w:color w:val="auto"/>
                <w:sz w:val="20"/>
                <w:szCs w:val="20"/>
                <w:highlight w:val="none"/>
              </w:rPr>
              <w:t xml:space="preserve">块料楼地面</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1.结合层厚度、砂浆配合比1:3干硬性水泥砂浆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2.面层材料品种、规格、颜色:浅色地砖800mm×800mm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防静电活动地板</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1.面层材料品种、规格600mm×600mm、颜色:白色。</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2.设备间抗静电地板（钢制）</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过门石</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1.黑色天然大理石；</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2.宽度为0.3m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淋浴间止滑石材</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1.黑色天然大理石；</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2.宽度为0.1m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（二）顶面工程部分</w:t>
            </w:r>
            <w:r/>
          </w:p>
        </w:tc>
        <w:tc>
          <w:tcPr>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吊顶天棚</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1.吊顶形式、吊杆规格、高度:不上人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2.龙骨材料种类、规格、中距:吊筋、U型轻钢龙骨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3.面层材料品种、规格:9.5mm厚双层石膏板</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4.含轻钢龙骨、双层9.5mm石膏板(大厅位置吊顶)</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吊顶天棚</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1.吊顶形式、吊杆规格、高度:不上人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2.龙骨材料种类、规格、中距:吊筋、轻钢龙骨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3.面层材料品种、规格:30*120@100格栅造型铝方通（壁厚0.65）吊顶</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吊顶天棚</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1.吊顶形式、吊杆规格、高度:不上人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2.龙骨材料种类、规格、中距:吊筋、U型轻钢龙骨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3.面层材料品种、规格:9.5mm厚双层石膏板</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4.含轻钢龙骨、双层9.5mm石膏板(用于休息室、走廊等)</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吊顶天棚</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1.吊顶形式、吊杆规格、高度:不上人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2.龙骨材料种类、规格、中距:吊筋、T型轻钢龙骨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3.面层材料品种、规格:硅酸钙板吊顶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4.含明/暗龙骨、600mm×600mmmm吸音矿棉板(用于设备间等)</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吊顶天棚</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1.吊顶形式、吊杆规格、高度:不上人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2.龙骨材料种类、规格、中距:Φ8，H=吊筋650+螺杆250mm，装配式T型(不上人型)铝合金龙骨简单面层规格300*300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3.面层材料品种、规格:铝扣板300*300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4.压条材料种类、规格:铜压条</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天棚油漆</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1.白色无机涂料</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2.刮腻子两遍</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3.底漆1遍，面漆2遍</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开孔（打洞）</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1.部位:顶面灯具开孔及加固</w:t>
            </w:r>
            <w:r/>
          </w:p>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2.开孔直径150mm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24</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（三）墙面工程部分</w:t>
            </w:r>
            <w:r/>
          </w:p>
        </w:tc>
        <w:tc>
          <w:tcPr>
            <w:tcBorders>
              <w:top w:val="single" w:color="000000" w:sz="4" w:space="0"/>
              <w:left w:val="single" w:color="000000" w:sz="4" w:space="0"/>
              <w:bottom w:val="single" w:color="000000" w:sz="4" w:space="0"/>
              <w:right w:val="single" w:color="000000" w:sz="4" w:space="0"/>
            </w:tcBorders>
            <w:tcW w:w="5133" w:type="dxa"/>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白色烤漆铝板墙面</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1.龙骨材料种类、规格、中距:钢架龙骨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2.面层材料品种、规格、颜色:3mm厚定制烤漆铝板、预留设备安装检修口</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3.压条材料种类、规格:铜压条</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242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白色烤漆铝板墙面（弧形）</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1.龙骨材料种类、规格、中距:钢架龙骨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2.面层材料品种、规格、颜色:3mm厚定制烤漆铝板、预留设备安装检修口</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3.压条材料种类、规格:铜压条</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26.27</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抹灰面油漆</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1.白色无机涂料（PT-01）；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2.刮腻子两遍；</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3.底漆1遍，面漆2遍；</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块料墙面</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1.安装墙面砖；400*800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2.墙面无粉刷层，精装单位负责拉毛处理；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3.薄贴法施工，专用粘结剂铺贴，基层双组分背胶处理，含土建误差找平，包括但不限于勾缝剂嵌缝等一切必需工作内容，需满足甲方验收及规范要求；</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楼（地）面涂膜防水</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1.墙地面防水不少于2遍 （1.5厚JS-II防水涂料)，上翻建筑完成面300mm，淋浴间上翻1800mm，非洗浴区上翻1200mm，遇门洞向外延展的长度不应小于500mm，向两侧延展的宽度不应小于200mm；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窗帘</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1.窗帘材质:厚绒布窗帘</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窗帘盒</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1.窗帘盒材质、规格:9.5mm厚石膏板、18mm玻镁板、龙骨等；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2.防护材料种类:综合考虑；</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金属踢脚线</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1.面层材料品种、规格、颜色:12mm木工板基层，不锈钢踢脚线50mm高</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81.56</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color w:val="auto"/>
                <w:highlight w:val="none"/>
              </w:rPr>
            </w:pPr>
            <w:r>
              <w:rPr>
                <w:rFonts w:ascii="宋体;SimSun" w:hAnsi="宋体;SimSun" w:eastAsia="宋体;SimSun" w:cs="宋体;SimSun"/>
                <w:color w:val="auto"/>
                <w:sz w:val="20"/>
                <w:szCs w:val="20"/>
                <w:highlight w:val="none"/>
              </w:rPr>
              <w:t xml:space="preserve">33</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三、门窗工程部分</w:t>
            </w:r>
            <w:r/>
          </w:p>
        </w:tc>
        <w:tc>
          <w:tcPr>
            <w:tcBorders>
              <w:top w:val="single" w:color="000000" w:sz="4" w:space="0"/>
              <w:left w:val="single" w:color="000000" w:sz="4" w:space="0"/>
              <w:bottom w:val="single" w:color="000000" w:sz="4" w:space="0"/>
              <w:right w:val="single" w:color="000000" w:sz="4" w:space="0"/>
            </w:tcBorders>
            <w:tcW w:w="5133" w:type="dxa"/>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金属门窗拆除</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1.室内高度:含旧窗拆除、110系列断桥铝型材、中空钢化玻璃、五金件及安装</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金属（铝型材、断桥）窗</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1.框、扇材质:110断桥铝（2mm）合金窗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2.玻璃品种、厚度:中空玻璃(成品)5+6A+5白玻</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3.配套五金</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木质门带套</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1.门代号及洞口尺寸:900mm×2400mmmm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2.成品套装门、配套五金</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6.48</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木质门带套</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1.门代号及洞口尺寸:1600mm×2400mmmm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2.成品套装门、配套五金；</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7.68</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大拉手</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1.1.5m长黑色金属大拉手；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2.含五金配件</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甲级钢制防火门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1.门代号及洞口尺寸:1600mm×2300mmmm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2.甲级钢制防火门、配套五金</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3.68</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m²</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铝合金隐形门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1.门代号及洞口尺寸:600mm×2000mmmm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樘</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41</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四、办公家具部分</w:t>
            </w:r>
            <w:r/>
          </w:p>
        </w:tc>
        <w:tc>
          <w:tcPr>
            <w:tcBorders>
              <w:top w:val="single" w:color="000000" w:sz="4" w:space="0"/>
              <w:left w:val="single" w:color="000000" w:sz="4" w:space="0"/>
              <w:bottom w:val="single" w:color="000000" w:sz="4" w:space="0"/>
              <w:right w:val="single" w:color="000000" w:sz="4" w:space="0"/>
            </w:tcBorders>
            <w:tcW w:w="5133" w:type="dxa"/>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指挥中心专用操作台</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1.规格：每组3m×1.2m×0.72m；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2.ENF级别环保免漆板基材；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3.1.5mm厚镀锌钢板氟碳喷漆面层。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4.内嵌LED灯带；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5.五金配件配套；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会议桌</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1.规格：3.6m×1.4m×0.75m；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2.ENF级别环保免漆板；钢制金属板桌腿饰面；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3.五金配件配套。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4.内置毛刷多功能插排3组；</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5.自带强电插座线路及高清线；</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会议椅</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1.规格：0.55m×1.2m×0.45m；金属；</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2.软包皮高弹海绵座面及靠背；</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1.规格：1.6m×0.75m×0.72m；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2.ENF级环保免漆板基材；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3.五金配件配套。</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办公椅</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1.规格：0.55m×1.2m×0.45m；金属；</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2.软包皮高弹海绵座面及靠背；</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储物柜/文件柜</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1.台柜规格：1.2m*2m*0.35m；储物柜/文件柜</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组</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48</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五、值班室家具部分</w:t>
            </w:r>
            <w:r/>
          </w:p>
        </w:tc>
        <w:tc>
          <w:tcPr>
            <w:tcBorders>
              <w:top w:val="single" w:color="000000" w:sz="4" w:space="0"/>
              <w:left w:val="single" w:color="000000" w:sz="4" w:space="0"/>
              <w:bottom w:val="single" w:color="000000" w:sz="4" w:space="0"/>
              <w:right w:val="single" w:color="000000" w:sz="4" w:space="0"/>
            </w:tcBorders>
            <w:tcW w:w="5133" w:type="dxa"/>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床具</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1.规格：1.2m×0.45m×2m；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2.ENF级环保免漆板基材；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3.五金配件配套。</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床屏靠背</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1.规格：1.2m×0.45m×2m；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2.ENF级环保免漆板基材；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3.五金配件配套。</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床头柜</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1、规格：0.5m×0.45m×0.45m；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2、ENF级环保免漆板基材；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3、五金配件配套。</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书桌</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1.规格：2.4m×0.75m×0.72m；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2.ENF级环保免漆板基材；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3.五金配件配套。</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座椅</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1.规格：0.55m×0.95m×0.45m；实木边框；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2.软包皮高弹海绵座面及靠背；</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把</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衣柜</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1.规格：2.4m×2m×0.6m；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2.ENF级环保免漆板基材；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3.五金配件配套。</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组</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电视机</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1.基本参数:分辨率:1920×1080刷新率:≥60Hz</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CPU:四核，内存:4GB，存储:32GB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2.无线配置:Wi-Fi:Wi-Fi 5 蓝牙:支持蓝牙 5.1红外:支持</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3.接口及数量：HDMI 2.1:3个(HDMI2支持eARC)AV:1个(三合一复合接口)S/PDIF:1个(光纤)USB:2个(1个USB3.0，1个USB2.0)LAN网口:1个(百兆)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4.内置扬声器</w:t>
            </w:r>
            <w:r/>
          </w:p>
          <w:p>
            <w:pPr>
              <w:jc w:val="left"/>
              <w:rPr>
                <w:color w:val="auto"/>
                <w:highlight w:val="none"/>
              </w:rPr>
            </w:pPr>
            <w:r>
              <w:rPr>
                <w:rFonts w:ascii="宋体;SimSun" w:hAnsi="宋体;SimSun" w:eastAsia="宋体;SimSun" w:cs="宋体;SimSun"/>
                <w:color w:val="auto"/>
                <w:sz w:val="20"/>
                <w:szCs w:val="20"/>
                <w:highlight w:val="none"/>
              </w:rPr>
              <w:t xml:space="preserve">5.尺寸</w:t>
            </w:r>
            <w:r>
              <w:rPr>
                <w:rFonts w:ascii="宋体;SimSun" w:hAnsi="宋体;SimSun" w:eastAsia="宋体;SimSun" w:cs="宋体;SimSun"/>
                <w:color w:val="auto"/>
                <w:sz w:val="22"/>
                <w:highlight w:val="none"/>
              </w:rPr>
              <w:t xml:space="preserve">≥</w:t>
            </w:r>
            <w:r>
              <w:rPr>
                <w:rFonts w:ascii="宋体;SimSun" w:hAnsi="宋体;SimSun" w:eastAsia="宋体;SimSun" w:cs="宋体;SimSun"/>
                <w:color w:val="auto"/>
                <w:sz w:val="20"/>
                <w:szCs w:val="20"/>
                <w:highlight w:val="none"/>
              </w:rPr>
              <w:t xml:space="preserve">65英寸。</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56</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六、背景墙及广告费用部分</w:t>
            </w:r>
            <w:r/>
          </w:p>
        </w:tc>
        <w:tc>
          <w:tcPr>
            <w:tcBorders>
              <w:top w:val="single" w:color="000000" w:sz="4" w:space="0"/>
              <w:left w:val="single" w:color="000000" w:sz="4" w:space="0"/>
              <w:bottom w:val="single" w:color="000000" w:sz="4" w:space="0"/>
              <w:right w:val="single" w:color="000000" w:sz="4" w:space="0"/>
            </w:tcBorders>
            <w:tcW w:w="5133" w:type="dxa"/>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发光字</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1.不锈钢围边，树脂发光字；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2.字高280mm，共18字；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3.含变压器及辅材；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4.包安装。</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组</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门牌</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1.定制金属门牌；</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2.规格：0.2m×0.45m；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组</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59</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七、其他费用</w:t>
            </w:r>
            <w:r/>
          </w:p>
        </w:tc>
        <w:tc>
          <w:tcPr>
            <w:tcBorders>
              <w:top w:val="single" w:color="000000" w:sz="4" w:space="0"/>
              <w:left w:val="single" w:color="000000" w:sz="4" w:space="0"/>
              <w:bottom w:val="single" w:color="000000" w:sz="4" w:space="0"/>
              <w:right w:val="single" w:color="000000" w:sz="4" w:space="0"/>
            </w:tcBorders>
            <w:tcW w:w="5133" w:type="dxa"/>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垃圾清理、材料搬运费</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1.拆除垃圾清运等一切费用</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61</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Ⅱ、安装工程</w:t>
            </w:r>
            <w:r/>
          </w:p>
        </w:tc>
        <w:tc>
          <w:tcPr>
            <w:tcBorders>
              <w:top w:val="single" w:color="000000" w:sz="4" w:space="0"/>
              <w:left w:val="single" w:color="000000" w:sz="4" w:space="0"/>
              <w:bottom w:val="single" w:color="000000" w:sz="4" w:space="0"/>
              <w:right w:val="single" w:color="000000" w:sz="4" w:space="0"/>
            </w:tcBorders>
            <w:tcW w:w="5133" w:type="dxa"/>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tcBorders>
              <w:top w:val="single" w:color="000000" w:sz="4" w:space="0"/>
              <w:left w:val="single" w:color="000000" w:sz="4" w:space="0"/>
              <w:bottom w:val="single" w:color="000000" w:sz="4" w:space="0"/>
              <w:right w:val="single" w:color="000000" w:sz="4" w:space="0"/>
            </w:tcBorders>
            <w:tcW w:w="2114" w:type="dxa"/>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62</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一、强电系统</w:t>
            </w:r>
            <w:r/>
          </w:p>
        </w:tc>
        <w:tc>
          <w:tcPr>
            <w:tcBorders>
              <w:top w:val="single" w:color="000000" w:sz="4" w:space="0"/>
              <w:left w:val="single" w:color="000000" w:sz="4" w:space="0"/>
              <w:bottom w:val="single" w:color="000000" w:sz="4" w:space="0"/>
              <w:right w:val="single" w:color="000000" w:sz="4" w:space="0"/>
            </w:tcBorders>
            <w:tcW w:w="5133" w:type="dxa"/>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tcBorders>
              <w:top w:val="single" w:color="000000" w:sz="4" w:space="0"/>
              <w:left w:val="single" w:color="000000" w:sz="4" w:space="0"/>
              <w:bottom w:val="single" w:color="000000" w:sz="4" w:space="0"/>
              <w:right w:val="single" w:color="000000" w:sz="4" w:space="0"/>
            </w:tcBorders>
            <w:tcW w:w="2114" w:type="dxa"/>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配电箱ZAL</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1.规格：750mm×550mm×120mm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2.材质：冷轧钢板，厚度1.2mm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3.安装方式：落地安装，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4.其他：包含箱内开关、熔断器、接线端子等元器件安装及接线</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配电箱AL1</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1.规格：冷轧钢板400mm×500mm×150mm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2.安装方式：挂墙式安装，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3.安装高度1.6m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4.其他：包含箱内开关、熔断器、接线端子等元器件安装及接线</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配电箱AL2</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1.材质：冷轧钢板</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2.安装方式：挂墙式安装，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3.安装高度1.6m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4.其他：包含箱内开关、熔断器、接线端子等元器件安装及接线</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应急照明配线箱ALE1</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1.材质：冷轧钢板</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2.安装方式：挂墙式安装，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3.安装高度1.6m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4.其他：包含箱内开关、熔断器、接线端子等元器件安装及接线</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1.材质：热镀锌钢管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2.规格：JDG20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3.敷设方式：吊顶内明敷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4.包含管卡安装、管子连接（丝接）及防腐处理</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1.材质：热镀锌钢管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2.规格：SC20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3.敷设方式：吊顶内明敷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4.包含管卡安装、管子连接（丝接）及防腐处理</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接线盒</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预留盒</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1.材质：铜芯，型号：BV 规格：：2.5mm²</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2.敷设方式：穿镀锌钢管敷设，钢管规格SC25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3.敷设部位：地面垫层内暗敷包含电线连接及绝缘处理</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2800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1.材质：铜芯，型号：BV 规格：：4mm²</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2.敷设方式：穿镀锌钢管敷设，钢管规格SC25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3.敷设部位：地面垫层内暗敷包含电线连接及绝缘处理</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680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1.材质：铜芯，型号：BV 规格：：6mm²</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2.敷设方式：穿镀锌钢管敷设，钢管规格SC25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3.敷设部位：地面垫层内暗敷包含电线连接及绝缘处理</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配线电缆</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1.材质：铜芯，型号：BV 规格：：4×35+1×16(mm²)</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2.敷设方式：穿镀锌钢管敷设</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3.敷设部位：地面垫层内暗敷包含电线连接及绝缘处理</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配线电缆</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1.材质：铜芯，型号：BV 规格：：4×50+1×16(mm²)</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2.敷设方式：穿镀锌钢管敷设</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3.敷设部位：地面垫层内暗敷包含电线连接及绝缘处理</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装饰灯</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1.7英寸28W筒灯</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1.600mm×1200mm，36W平板灯</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1.LED长条灯，300mm×2000mm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1.36W吸顶灯</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专用灯</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1.浴霸</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装饰灯</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1.大厅铝板上方LED 低压10WCOB灯带，配置转换器</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照明开关</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1.名称：双联单极开关；</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2.安装与供应包括一切所需人工及辅料，以及安装与供应完成后的打胶收口。</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照明开关</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1.名称：三联单极开关；</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2.安装与供应包括一切所需人工及辅料，以及安装与供应完成后的打胶收口。</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插座</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1.型号：86型 规格：五孔插座，额定电流10A，额定电压250V</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2.材质：PC面板，铜合金插套.安装方式：暗装，安装高度0.3m 包含插座盒安装及接线</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插座</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1.型号：86型 规格：五孔插座（带防溅盒），额定电流10A，额定电压250V</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2.材质：PC面板，铜合金插套. 安装方式：暗装，安装高度1.3m 包含插座盒安装及接线</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color w:val="auto"/>
                <w:highlight w:val="none"/>
              </w:rPr>
            </w:pPr>
            <w:r>
              <w:rPr>
                <w:rFonts w:ascii="宋体;SimSun" w:hAnsi="宋体;SimSun" w:eastAsia="宋体;SimSun" w:cs="宋体;SimSun"/>
                <w:color w:val="auto"/>
                <w:sz w:val="20"/>
                <w:szCs w:val="20"/>
                <w:highlight w:val="none"/>
              </w:rPr>
              <w:t xml:space="preserve">五孔地面插</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1.名称：五孔地面插座；</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2.规格、型号：86型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3.安装与供应包括一切所需人工及辅料，以及安装与供应完成后的打胶收口。</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三孔空调插座</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1.名称：三孔插座；</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2.安装与供应包括一切所需人工及辅料，以及安装与供应完成后的打胶收口。</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打洞（孔）</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1.名称:墙面开孔</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2.规格:DN50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3.类型:空调管孔</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凿（压)槽</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1.墙面开槽及修复DN25</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89</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二、空调系统</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分体式空调</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1.规格：壁挂机，2P</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2.安装位置：休息室</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中央空调外机</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1.外机功率：10P</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2.外机供电6平方</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中央空调室内机</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1.功率：5P，</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2.规格：四面出风</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1.配套线控器</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档案室空调</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1.功率：2P风管机</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铜管</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1.配套铜管</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空调工程系统调试</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1.整体调试</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97</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三、弱电系统</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网络机柜</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1.名称：网络柜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2.规格：2000mm×1000mm×600mm mm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电气配管SC钢管DN20</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1.名称:SC钢管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2.规格:DN20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3.配置形式及部位:砖、混凝土结构明配</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1.型号：槽式桥架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2.规格：200mm×100mm，厚度1.0mm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3.材质：冷轧钢板，表面静电喷涂安装方式：沿顶板吊装，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4.安装高度距顶板0.3m.包含桥架支吊架制作安装、桥架连接及接地</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24口模块化六类非屏蔽配线架</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1.产品描述：19英寸1U24口模块化6类非屏蔽配线架；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2.标准19英寸机架式安装，高度：1U；</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3.平面型配线架，采用模块化设计；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4.后端自带线缆管理单元，采用双爪式免工具设计，便于安装和拆卸；</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5.标准：YD/T 926.3，ISO/IEC 11801，ANSI/TIA - 568-C.2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6.线缆管理：自带后部线缆管理单元；</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7.标识管理：完善清晰的标识系统，让施工、维护、管理更方便、快捷，端口带序号标识；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8.IDC：磷青铜，金针：磷青铜表面镀金，9. 进线方式：180°进线，IDC：45°，卡接导体规格：0.5mm～0.65mm，24AWG~22AWG；</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10.打线方式：T568A/T568B；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11.插头与插座插合次数：≥1000次，导线端接次数：≥250次；</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理线架</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1.材料：碳钢，T=1.5毫米，防静电喷塑处理；1U高度，结构紧凑；1.2MM厚度</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1.网线UTP6</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4300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信息插座</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1.网络插座</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2.暗装</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信息插座</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1.网络地面插座</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2.暗装</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凿（压)槽</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1.墙面开槽及修复DN25</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智能音箱</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1.声学单元：2.5英寸全频扬声器x1 无源辐射器x2</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2.额定功率：12W</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3.麦克风:环形麦克风阵列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4.灯光:全彩线形氛围灯带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5.蓝牙:Wi-Fi 蓝牙5.0，支持A2DP音乐播放</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6.Wi-Fi 2.4 GHz /5 GHz，支持IEEE 802.11 a/ b /g/ n /ac/ax协议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7.有线:Type-C 音频有线连接</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8.电源:DC 12V/2A</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窗帘电机</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1.产品名称:智能开合帘电机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2.产品尺寸:135mm×51mm×60mm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3.额定扭矩:1.2N·m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4.防护等级:IP41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5.通讯协议:蓝牙Mesh2.0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6.额定转速:75r/min</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7.输入电压:100~240VAC 50/60Hz</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8.额定功率:≤24W</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9.热分级:F级</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窗帘轨道</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1.双层电泳工艺，铝合金材质，承重</w:t>
            </w:r>
            <w:r/>
          </w:p>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2.100-120斤，不易褪色、不易生锈</w:t>
            </w:r>
            <w:r/>
          </w:p>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3.皮带细节：皮带分钢丝皮带和凯夫拉皮带。钢丝皮带含7根钢丝，抗老化耐用。凯夫拉皮带抗高温、抗燃、高拉力耐磨损。适用室外、工厂等恶劣环境。</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米</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智能开关</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1.产品尺寸:86mm×86mm×40mm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2.通讯协议:蓝牙Mesh2.0额定电压:250V~，50/60Hz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3.负载类型:白炽灯≤2000W/路，LED≤800W/路</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窗帘遥控</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配套开合帘遥控器</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112</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四、给排水工程</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给水水管PPR De20</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1.安装部位：室内；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2.输送介质：热水、冷水；</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3.材质：PP-R管；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4.型号、规格：De20；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5.连接方式：热熔连接；</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6.管件安装、水压试验、消毒冲洗；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7.开孔、打眼及封堵；</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8.配置形式及部位：砖、混凝土结构暗配、明配；</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9.弯头、三通、堵头等管配件及户内穿墙、梁等套管、管道开槽、压槽、支撑件、保温、保护层等全部内容；</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排水管UPVC De50</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1.安装部位：室内；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2.输送介质：污废水；</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3.材质：PVC-U塑料管；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4.型号、规格：De50；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5.连接方式：零件粘接；</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6.灌水试验；</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7.开孔、打眼及封堵；</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排水管UPVC De110</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1.安装部位：室内；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2.输送介质：污废水；</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3.材质：PVC-U塑料管；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4.型号、规格：De110；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5.连接方式：零件粘接；</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6.灌水试验；</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7.开孔、打眼及封堵；</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小便器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1.名称:小便器含感应自动冲洗；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2.附件:角阀、黄油法兰、金属软管等附件安装；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3.阀门装饰盖供应及安装；</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组</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马桶</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1.名称:马桶；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2.附件:角阀、黄油法兰、金属软管等附件安装；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3.阀门装饰盖供应及安装；</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组</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盆柜</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1.18mm厚防潮板基材；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2.岩板台面；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3.含台盆，冷热水纯铜芯水龙头；</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4.规格：0.9m×0.55m×0.65m；5、壁挂安装；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5.五金配件配套（含铝合金金属下水管道、纯铜芯冷热水三角阀门，台盆下水等）</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地漏</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1.不锈钢防臭地漏</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淋浴花洒</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1.纯铜芯不锈钢子母花洒；</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2.恒温水龙头</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3.入墙式安装</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双杠毛巾架</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抽纸盒</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1.成品厕纸抽纸盒</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洁厕刷</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拖把池</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1.陶瓷盆；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2.含五金龙头（纯铜芯）；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3.含铝合金下水及角阀</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电热水器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1.容积60L，功率3000W变频速热电热水器</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钢化玻璃淋浴隔断</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1.钢化玻璃淋浴隔断、不锈钢包边框全玻璃隔断钢化玻璃δ12mm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镜箱</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1.名称:镜柜930mm×800mm；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2.规格、类型:含镜面等；</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128</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五、消防改造及报警</w:t>
            </w:r>
            <w:r/>
          </w:p>
        </w:tc>
        <w:tc>
          <w:tcPr>
            <w:tcBorders>
              <w:top w:val="single" w:color="000000" w:sz="4" w:space="0"/>
              <w:left w:val="single" w:color="000000" w:sz="4" w:space="0"/>
              <w:bottom w:val="single" w:color="000000" w:sz="4" w:space="0"/>
              <w:right w:val="single" w:color="000000" w:sz="4" w:space="0"/>
            </w:tcBorders>
            <w:tcW w:w="5133" w:type="dxa"/>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tcBorders>
              <w:top w:val="single" w:color="000000" w:sz="4" w:space="0"/>
              <w:left w:val="single" w:color="000000" w:sz="4" w:space="0"/>
              <w:bottom w:val="single" w:color="000000" w:sz="4" w:space="0"/>
              <w:right w:val="single" w:color="000000" w:sz="4" w:space="0"/>
            </w:tcBorders>
            <w:tcW w:w="2114" w:type="dxa"/>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　</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水喷淋钢管</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1.材质：热镀锌无缝钢管；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2.规格：DN25/DN32；</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3.连接方式：沟槽式连接；</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4.防腐处理：外刷防锈漆两道、防火涂料两道；</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5.安装位置：根据设计吊顶标高改造现场喷淋管道，喷淋头采用隐蔽喷头，居中布置，安装完成后需进行打压测试；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6.压力等级：满足规范要求；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7.含支架制作安装、管道试压、冲洗、消毒；</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水喷淋(雾）喷头</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1.类型：闭式玻璃球喷淋头；</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2.动作温度：68℃；</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3.安装方式：隐蔽式下喷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4.流量系数：K=80；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5.材质：铜合金，玻璃球透明</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点型感烟火灾探测器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1.类型：离子式/光电式；</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2.安装方式：吸顶式</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3.信号类型：地址编码型；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4.工作电压：DC24V</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5.响应时间：≤30s；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6.与消防报警控制器联动，含底座安装</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消防管线</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1.材质：铜芯，耐火聚氯乙烯绝缘聚氯乙烯护套控制电缆；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2.根据现场布局对消防设施进行配套施工；</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m</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消防调试</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1.调试内容：喷淋系统、消火栓系统、消防报警系统等联动调试；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2.调试要求：系统报警准确、联动动作正常、信号反馈及时；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3.含单机调试、系统联合调试、试运行（试运行时间≥24h）</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4.清单内未包含的其他系统设施在报价中统一考虑，需确保消防系统正常运行；</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134</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六、机房气体消防</w:t>
            </w:r>
            <w:r/>
          </w:p>
        </w:tc>
        <w:tc>
          <w:tcPr>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16"/>
                <w:szCs w:val="16"/>
                <w:highlight w:val="none"/>
              </w:rPr>
            </w:pPr>
            <w:r>
              <w:rPr>
                <w:rFonts w:ascii="宋体;SimSun" w:hAnsi="宋体;SimSun" w:eastAsia="宋体;SimSun" w:cs="宋体;SimSun"/>
                <w:color w:val="auto"/>
                <w:sz w:val="16"/>
                <w:szCs w:val="16"/>
                <w:highlight w:val="none"/>
              </w:rPr>
              <w:t xml:space="preserve">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16"/>
                <w:szCs w:val="16"/>
                <w:highlight w:val="none"/>
              </w:rPr>
            </w:pPr>
            <w:r>
              <w:rPr>
                <w:rFonts w:ascii="宋体;SimSun" w:hAnsi="宋体;SimSun" w:eastAsia="宋体;SimSun" w:cs="宋体;SimSun"/>
                <w:color w:val="auto"/>
                <w:sz w:val="16"/>
                <w:szCs w:val="16"/>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柜式七氟丙烷灭火装置</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瓶组容积70L、储存压力2.5 MPa，采用七氟丙烷洁净气体作为灭火剂的高效无管网灭火装置。工作压力：公称工作压力2.5+0.1MPa（表压），最大工作压力4.2MPa；每一只七氟丙烷储瓶都必须装有压力表，具有检漏功能、且压力表与瓶组间有开关控制。</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药剂</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纯度99.99%；无色、无味的气体，其臭氧耗损潜能值（ODP）为零</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kg</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泄压口</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0.07㎡</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气体灭火控制器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单防区壁挂式气体灭火控制器，可实现1个防火区的火灾报警和气体灭火控制</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气体释放警报器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与控制器采用二线连接，白色电缆线接总线，无极性</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紧急启停按钮</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编码方式：电子编码方式，编码范围可在21~30之间任意设定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常开输出触点：额定值DC60V、0.1A，接触电阻小于等于100mΩ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启动方式：击碎玻璃罩后，按下“按下喷洒”按键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启动零件类型：重复使用型</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声光警报器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二总线，无极性，采用DC24V电源，内置微处理器CPU；常安装在气体灭火保护区内外，用于声、光警告信号</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点型光电感烟火灾探测器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线制：信号二总线无极性</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指示灯：红色，巡检时闪烁，报警时常亮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编码方式：电子编码</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使用环境：环境温度:-10°C~+55°C相对湿度:&lt;95%，不凝露</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壳体：材料</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外形尺寸：直径103mmx高53mm(带底座)</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总线电压：总线24V</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点型感温火灾探测器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点型感温火灾探测器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工作电压：总线24V</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监视电流：≤0.3mA</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报警电流：≤1.5mA</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报警确认灯：红色，巡检时闪烁，报警时常亮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编码方式：电子编码</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编码范围：1-242之间</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使用环境温度：A1R类别:典型应用25℃，范围-10℃~+50℃BS类别:典型应用40℃，范围-10℃~+65℃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相对湿度：&lt;95%，不凝露</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外壳防护等级IP32</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探测器底座</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材质：塑料</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二氧化碳灭火器</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3kg</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安装及管线辅材</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管线辅材</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147</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七、机房排风系统</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　</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灾后清空风机</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1.名称：排烟风机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2.规格：风量≥1300m³/h；</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排烟管道</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镀锌白铁皮咬口制作安装，300mm×200mm，10mm厚橡胶板保温，风管、管件、法兰、法兰加固框、零件、支吊架制作安装、除锈刷油、穿墙套管安装</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米</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电动防火阀</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1.名称：排烟阀</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2.规格：24V，280℃电动。</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消防排烟机控制箱</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1.名称：电源箱</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2.规格：定制。</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个</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回风口百叶</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1.名称：百叶风口</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2.规格：300mm×300mm。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4145"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防雨百叶风口</w:t>
            </w:r>
            <w:r/>
          </w:p>
        </w:tc>
        <w:tc>
          <w:tcPr>
            <w:shd w:val="clear" w:color="auto" w:fill="ffffff"/>
            <w:tcBorders>
              <w:top w:val="single" w:color="000000" w:sz="4" w:space="0"/>
              <w:left w:val="single" w:color="000000" w:sz="4" w:space="0"/>
              <w:bottom w:val="single" w:color="000000" w:sz="4" w:space="0"/>
              <w:right w:val="single" w:color="000000" w:sz="4" w:space="0"/>
            </w:tcBorders>
            <w:tcW w:w="513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1.名称：防雨百叶风口</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2.规格：300mm×300mm。</w:t>
            </w:r>
            <w:r/>
          </w:p>
        </w:tc>
        <w:tc>
          <w:tcPr>
            <w:shd w:val="clear" w:color="auto" w:fill="ffffff"/>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r>
    </w:tbl>
    <w:p>
      <w:pPr>
        <w:pStyle w:val="1127"/>
        <w:rPr>
          <w:rFonts w:ascii="宋体;SimSun" w:hAnsi="宋体;SimSun" w:cs="宋体;SimSun"/>
          <w:color w:val="auto"/>
          <w:highlight w:val="none"/>
        </w:rPr>
      </w:pPr>
      <w:r>
        <w:rPr>
          <w:rFonts w:ascii="宋体;SimSun" w:hAnsi="宋体;SimSun" w:cs="宋体;SimSun"/>
          <w:color w:val="auto"/>
          <w:highlight w:val="none"/>
        </w:rPr>
      </w:r>
      <w:r/>
    </w:p>
    <w:p>
      <w:pPr>
        <w:numPr>
          <w:ilvl w:val="0"/>
          <w:numId w:val="3"/>
        </w:numPr>
        <w:ind w:left="420"/>
        <w:spacing w:line="360" w:lineRule="auto"/>
        <w:rPr>
          <w:rFonts w:ascii="宋体;SimSun" w:hAnsi="宋体;SimSun" w:eastAsia="宋体;SimSun" w:cs="宋体;SimSun"/>
          <w:b/>
          <w:bCs/>
          <w:color w:val="auto"/>
          <w:sz w:val="24"/>
          <w:szCs w:val="24"/>
          <w:highlight w:val="none"/>
        </w:rPr>
        <w:outlineLvl w:val="1"/>
      </w:pPr>
      <w:r>
        <w:rPr>
          <w:rFonts w:ascii="宋体;SimSun" w:hAnsi="宋体;SimSun" w:eastAsia="宋体;SimSun" w:cs="宋体;SimSun"/>
          <w:b/>
          <w:bCs/>
          <w:color w:val="auto"/>
          <w:sz w:val="24"/>
          <w:szCs w:val="24"/>
          <w:highlight w:val="none"/>
        </w:rPr>
        <w:t xml:space="preserve">环境监测预警系统需求</w:t>
      </w:r>
      <w:r/>
    </w:p>
    <w:p>
      <w:pPr>
        <w:ind w:firstLine="420"/>
        <w:spacing w:line="360" w:lineRule="auto"/>
        <w:rPr>
          <w:color w:val="auto"/>
          <w:highlight w:val="none"/>
        </w:rPr>
      </w:pPr>
      <w:r>
        <w:rPr>
          <w:color w:val="auto"/>
          <w:highlight w:val="none"/>
        </w:rPr>
        <w:t xml:space="preserve">本项目需建设环境监测预警系统，主要包含地下水监测站、地表水监测站、上风向标准站的升级改造、地下水建井、配套大气模型和配套地下水模型，并且提供4年质保及4年运维。环境监测预警系统需求清单如下：</w:t>
      </w:r>
      <w:r/>
    </w:p>
    <w:tbl>
      <w:tblPr>
        <w:tblStyle w:val="1006"/>
        <w:tblW w:w="5000" w:type="pct"/>
        <w:tblInd w:w="-113" w:type="dxa"/>
        <w:tblLayout w:type="fixed"/>
        <w:tblCellMar>
          <w:left w:w="108" w:type="dxa"/>
          <w:top w:w="0" w:type="dxa"/>
          <w:right w:w="108" w:type="dxa"/>
          <w:bottom w:w="0" w:type="dxa"/>
        </w:tblCellMar>
        <w:tblLook w:val="04A0" w:firstRow="1" w:lastRow="0" w:firstColumn="1" w:lastColumn="0" w:noHBand="0" w:noVBand="1"/>
      </w:tblPr>
      <w:tblGrid>
        <w:gridCol w:w="711"/>
        <w:gridCol w:w="936"/>
        <w:gridCol w:w="3039"/>
        <w:gridCol w:w="6202"/>
        <w:gridCol w:w="970"/>
        <w:gridCol w:w="813"/>
        <w:gridCol w:w="1502"/>
      </w:tblGrid>
      <w:tr>
        <w:trPr>
          <w:trHeight w:val="375"/>
        </w:trPr>
        <w:tc>
          <w:tcPr>
            <w:gridSpan w:val="7"/>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 xml:space="preserve">一、地下水监测站（微站）</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仪器、装置名称</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参数</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质保</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地下水检测单元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水位</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静压</w:t>
            </w:r>
            <w:r>
              <w:rPr>
                <w:rFonts w:ascii="宋体;SimSun" w:hAnsi="宋体;SimSun" w:eastAsia="宋体;SimSun" w:cs="宋体;SimSun"/>
                <w:color w:val="auto"/>
                <w:sz w:val="20"/>
                <w:szCs w:val="20"/>
                <w:highlight w:val="none"/>
              </w:rPr>
              <w:t xml:space="preserve">式液位计，量程0~10mH₂O，精度&lt;±0.1%F·S（可选0.2%F.S、0.5%F.S），长期稳定性&lt;0.1%F·S/年（可选0.2%F.S/年、0.5%F.S/年），过载能力5倍量程，存储温度-40~125°C，供电电压DC5~30V（典型24V），具备防反接和过电压保护，输出方式为RS485/MODBUS-RTU协议（可带128个节点），测量介质需与不锈钢316L、氟橡胶兼容，壳体材质不锈钢316L，电缆为聚氨酯材质Φ7.6mm带导气孔屏蔽层（长度可定制），防护等级IP68，绝缘100MΩ@50V。</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4年</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温度</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电导率传感器，外壳材质为ABS和ABS/PC合金，采用电极法测量原理，量程0~5000μS/cm（TDS 0-3000 mg/L），精度为读数的±1.5%，温度精度±0.3℃，响应时间&lt;T30s (T90)，最低检出限2μS/cm，支持两点校准和自动温度补偿（Pt1000），清洁方式为自动清洁，输出方式RS-485 (Modbus RTU)，存储温度-5~65℃，工作条件0~50℃、≤0.6MPa，功耗0.1W@12V，供电12~24VDC，防护等级IP68，线缆长度可定制。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电导率</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pH</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pH传感器，外壳材质为ABS/PC合金，采用玻璃电极法测量原理，量程0~14.00（分辨率0.01），精度±0.1，响应时间&lt;30s (T90)，最低检出限0.1，支持两点校准和自动温度补偿（Pt1000），输出方式RS-485 (Modbus RTU)，存储温度-5~65℃，工作条件0~50℃、≤0.2MPa，功耗0.2W@12V，供电12~24VDC，防护等级IP68，线缆长度可定制。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浊度</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浊度传感器，外壳材质为POM、ABS，采用散射光法测量原理，量程支持0~20.00NTU（分辨率0.01NTU/0.1℃）、0~200.0NTU（分辨率0.01NTU/0.1℃）、0~1000.</w:t>
            </w:r>
            <w:r>
              <w:rPr>
                <w:rFonts w:ascii="宋体;SimSun" w:hAnsi="宋体;SimSun" w:eastAsia="宋体;SimSun" w:cs="宋体;SimSun"/>
                <w:color w:val="auto"/>
                <w:sz w:val="20"/>
                <w:szCs w:val="20"/>
                <w:highlight w:val="none"/>
              </w:rPr>
              <w:t xml:space="preserve">0NTU，精度根据量程不同分别为：±3%或±1.5NTU（0~20.00NTU）、±3%或±2NTU（0~200.0NTU）、±5%或±3NTU（0~1000.0NTU），精度均包含±0.3℃，响应时间&lt;30s（T90），最低检出限0.01NTU（0-20NTU量程）和0.3NTU，支持两点校准和自动温度补偿（Pt1000），输出方式RS-485 (Modbus/RTU)，存储温度-5~65℃，工作条件0~50℃、&lt;0.2MPa，功耗0.2W@12V，供电12~24VDC，防护等级IP68，线缆长度可定制。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氧化还原电位</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ORP传感器，外壳材质为ABS/PC合金，采用铂电极法测量原理，量程-1500~+1500mV（分辨率1mV），精度±20mV，响应时间&lt;30s（T90），支持一点校准，输出方式RS-485 (Modbus/RTU)，存储温度-5~65℃，工作条件0~50℃、≤0.2MPa，功耗0.2W@12V，供电12~24VDC，防护等级IP68，线缆长度可定制。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溶解氧</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溶解氧传</w:t>
            </w:r>
            <w:r>
              <w:rPr>
                <w:rFonts w:ascii="宋体;SimSun" w:hAnsi="宋体;SimSun" w:eastAsia="宋体;SimSun" w:cs="宋体;SimSun"/>
                <w:color w:val="auto"/>
                <w:sz w:val="20"/>
                <w:szCs w:val="20"/>
                <w:highlight w:val="none"/>
              </w:rPr>
              <w:t xml:space="preserve">感器，外壳材质为POM、ABS/PC合金、316L不锈钢，采用荧光法测量原理，量程0~20.00mg/L（0~200%饱和度，25℃），分辨率0.01mg/L、0.1℃，精度±2%±0.3℃，响应时间&lt;30s（T90），最低检出限0.08mg/L，支持两点校准和自动温度补偿（Pt1000），输出方式RS-485 (Modbus RTU)，存储温度-5~65℃，工作条件0~50℃、≤0.2MPa，功耗0.2W@12V，供电12~24VDC，防护等级IP68，荧光膜头寿命1年（正常使用情况下），线缆长度可定制。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供电单元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220V市电</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站点及控制单元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一体式站房</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安防单元：防雷单元、温度感应、烟雾感应、感应式开关</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电路与电信号采集单元：</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恒温单元、散热模块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10寸工业组态触摸屏</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流通池模块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网络模组</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数据采集单元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电路数控模组</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1.支持设定定时自动洗井采样测定</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2.支持在线自动完成水质监测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3.支持在线实时数据记录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4.支持泄降保护</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PLC模组</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在线控制软件</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数据采集记录模块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数据上传模块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洗井采样单元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低扰动潜水泵</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 泵体材质：不锈钢；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 电机为无刷电机；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6泵体重量：≤1.8kg；</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7流速可调，符合 VOC 采样要求，最小流速≤0.1L/min；最大流速≥15L/min，大流量洗井，小流量采样；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9钢丝绳带米标；方便读取下放深度；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10泵体可徒手拆卸，清洗便捷；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11采用低流量潜水采样泵洗井和取样，采样泵扬程不小于45 m，泵外径小于50mm。流速控制：功率、转速可调，20m以内压水扬程下的流速控制范围达到0.1-10L/min，实际流速调节分辨率高于5%RD，0.1L/min下流速波动≤±10%RD，兼顾VOCs等指标低速低扰动采样与大流量洗井抽水需求。</w:t>
            </w:r>
            <w:r/>
          </w:p>
          <w:p>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 泵体材质：不锈钢；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 电机为无刷电机；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6泵体重量：≤1.8kg；</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7流速可调，符合 VOC 采样要求，最小流速≤0.1L/min；最大流速≥15L/min，大流量洗井，小流量采样；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9钢丝绳带米标；方便读取下放深度；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10泵体可徒手拆卸，清洗便捷；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11采用低流量潜水采样泵洗井和取样，采样泵扬程不小于45 m，泵外径小于50mm。流速控制：功率、转速可调，20m以内压水扬程下的流速控制范围达到0.1-10L/min，实际流速调节分辨率高于5%RD，0.1L/min下流速波动≤±10%RD，兼顾VOCs等指标低速低扰动采样与大流量洗井抽水需求。</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流量计</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1)实时显示瞬时流量（L/min）和累计流量（L）；</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2)支持0.1 L/min的微小流量检测和30L/min大流量监测，满足精密控制需求；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3)精度≤0.5%FS；</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清洗和反冲洗模块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过滤模块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水路模块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运维</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numPr>
                <w:ilvl w:val="0"/>
                <w:numId w:val="4"/>
              </w:num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日常巡检：设备外观检查、运行状态核查、站点环境巡检；</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 定期维护：每季度全面清洁、参数校准、管路检查，清洗；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 试剂更换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4.纯水按月更换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5.每个季度做一次实际水样比对测试，并出具报告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 废液处理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 故障处理：2小时内远程响应，48小时内现场排查维修；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 技术支持：7×12小时在线技术咨询服务</w:t>
            </w:r>
            <w:r/>
          </w:p>
          <w:p>
            <w:pPr>
              <w:pStyle w:val="1127"/>
              <w:rPr>
                <w:rFonts w:ascii="宋体;SimSun" w:hAnsi="宋体;SimSun" w:cs="宋体;SimSun"/>
                <w:color w:val="auto"/>
                <w:highlight w:val="none"/>
              </w:rPr>
            </w:pPr>
            <w:r>
              <w:rPr>
                <w:rFonts w:ascii="宋体;SimSun" w:hAnsi="宋体;SimSun" w:cs="宋体;SimSun"/>
                <w:color w:val="auto"/>
                <w:highlight w:val="none"/>
              </w:rPr>
              <w:t xml:space="preserve">9.包含电费、水费以及网络通讯费。</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其他</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设备运输、现场安装调试、操作培训、站房地面基础施工。</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其他配件</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安全防护栏杆、防盗锁、警示标识牌、科普宣传牌</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gridSpan w:val="7"/>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 xml:space="preserve">二、地下水监测站（小型站）</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仪器、装置名称</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参数</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质保</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地下水检测单元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水位</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静压</w:t>
            </w:r>
            <w:r>
              <w:rPr>
                <w:rFonts w:ascii="宋体;SimSun" w:hAnsi="宋体;SimSun" w:eastAsia="宋体;SimSun" w:cs="宋体;SimSun"/>
                <w:color w:val="auto"/>
                <w:sz w:val="20"/>
                <w:szCs w:val="20"/>
                <w:highlight w:val="none"/>
              </w:rPr>
              <w:t xml:space="preserve">式液位计，量程0~10mH₂O，精度&lt;±0.1%F·S（可选0.2%F.S、0.5%F.S），长期稳定性&lt;0.1%F·S/年（可选0.2%F.S/年、0.5%F.S/年），过载能力5倍量程，存储温度-40~125°C，供电电压DC5~30V（典型24V），具备防反接和过电压保护，输出方式为RS485/MODBUS-RTU协议（可带128个节点），测量介质需与不锈钢316L、氟橡胶兼容，壳体材质不锈钢316L，电缆为聚氨酯材质Φ7.6mm带导气孔屏蔽层（长度可定制），防护等级IP68，绝缘100MΩ@50V。</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4年</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温度</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电导率传感器，外壳材质为ABS和ABS/PC合金，采用电极法测量原理，量程0~5000μS/cm（TDS 0-3000 mg/L），精度为读数的±1.5%，温度精度±0.3℃，响应时间&lt;T30s (T90)，最低检出限2μS/cm，支持两点校准和自动温度补偿（Pt1000），清洁方式为自动清洁，输出方式RS-485 (Modbus RTU)，存储温度-5~65℃，工作条件0~50℃、≤0.6MPa，功耗0.1W@12V，供电12~24VDC，防护等级IP68，线缆长度可定制。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电导率</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pH</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pH传感器，外壳材质为ABS/PC合金，采用玻璃电极法测量原理，量程0~14.00（分辨率0.01），精度±0.1，温度精度±0.3℃，响应时间&lt;30s (T90)，最低检出限0.1，支持两点校准和自动温度补偿（Pt1000），输出方式RS-485 (Modbus RTU)，存储温度-5~65℃，工作条件0~50℃、≤0.2MPa，功耗0.2W@12V，供电12~24VDC，防护等级IP68，线缆长度可定制。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浊度</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浊度传感器，外壳材质为POM、ABS，采用散射光法测量原理，量程支持0~20.00NTU（分辨率0.01NTU/0.1℃）、0~200.0NTU（分辨率0.01NTU/0.1℃）、0~1000.</w:t>
            </w:r>
            <w:r>
              <w:rPr>
                <w:rFonts w:ascii="宋体;SimSun" w:hAnsi="宋体;SimSun" w:eastAsia="宋体;SimSun" w:cs="宋体;SimSun"/>
                <w:color w:val="auto"/>
                <w:sz w:val="20"/>
                <w:szCs w:val="20"/>
                <w:highlight w:val="none"/>
              </w:rPr>
              <w:t xml:space="preserve">0NTU，精度根据量程不同分别为：±3%或±1.5NTU（0~20.00NTU）、±3%或±2NTU（0~200.0NTU）、±5%或±3NTU（0~1000.0NTU），精度均包含±0.3℃，响应时间&lt;30s（T90），最低检出限0.01NTU（0-20NTU量程）和0.3NTU，支持两点校准和自动温度补偿（Pt1000），输出方式RS-485 (Modbus/RTU)，存储温度-5~65℃，工作条件0~50℃、&lt;0.2MPa，功耗0.2W@12V，供电12~24VDC，防护等级IP68，线缆长度可定制。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氧化还原电位</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ORP传感器，外壳材质为ABS/PC合金，采用铂电极法测量原理，量程-1500~+1500mV（分辨率1mV），精度±20mV，响应时间&lt;30s（T90），支持一点校准，输出方式RS-485 (Modbus/RTU)，存储温度-5~65℃，工作条件0~50℃、≤0.2MPa，功耗0.2W@12V，供电12~24VDC，防护等级IP68，线缆长度可定制。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溶解氧</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溶解氧传</w:t>
            </w:r>
            <w:r>
              <w:rPr>
                <w:rFonts w:ascii="宋体;SimSun" w:hAnsi="宋体;SimSun" w:eastAsia="宋体;SimSun" w:cs="宋体;SimSun"/>
                <w:color w:val="auto"/>
                <w:sz w:val="20"/>
                <w:szCs w:val="20"/>
                <w:highlight w:val="none"/>
              </w:rPr>
              <w:t xml:space="preserve">感器，外壳材质为POM、ABS/PC合金、316L不锈钢，采用荧光法测量原理，量程0~20.00mg/L（0~200%饱和度，25℃），分辨率0.01mg/L、0.1℃，精度±2%±0.3℃，响应时间&lt;30s（T90），最低检出限0.08mg/L，支持两点校准和自动温度补偿（Pt1000），输出方式RS-485 (Modbus RTU)，存储温度-5~65℃，工作条件0~50℃、≤0.2MPa，功耗0.2W@12V，供电12~24VDC，防护等级IP68，荧光膜头寿命1年（正常使用情况下），线缆长度可定制。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氨氮</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氨氮（水杨酸钠）水质在线自动监测仪，采用水杨酸分光光度法，测量范围0~100mg</w:t>
            </w:r>
            <w:r>
              <w:rPr>
                <w:rFonts w:ascii="宋体;SimSun" w:hAnsi="宋体;SimSun" w:eastAsia="宋体;SimSun" w:cs="宋体;SimSun"/>
                <w:color w:val="auto"/>
                <w:sz w:val="20"/>
                <w:szCs w:val="20"/>
                <w:highlight w:val="none"/>
              </w:rPr>
              <w:t xml:space="preserve">/L氨氮（分档0-8mg/L、0.1-30mg/L、5-100mg/L），准确度不超过±10%或不超过±0.2mg/L，重复性不超过±5%或不超过±0.2mg/L，最小测量周期20分钟（5~120min可调），采样周期支持时间间隔（10~9999min任意可调）和整点测量模式，校准周期1~99天任意间隔任意时刻可调，维护周期一般每月一次（约30min），输出2路RS-232和1路4~20mA，环境要求温度可调的室内（建议+5~28℃）、湿度≤90%（不结露），电源AC230±10%V、50±10%Hz、5A</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高锰酸盐指数 </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高锰酸</w:t>
            </w:r>
            <w:r>
              <w:rPr>
                <w:rFonts w:ascii="宋体;SimSun" w:hAnsi="宋体;SimSun" w:eastAsia="宋体;SimSun" w:cs="宋体;SimSun"/>
                <w:color w:val="auto"/>
                <w:sz w:val="20"/>
                <w:szCs w:val="20"/>
                <w:highlight w:val="none"/>
              </w:rPr>
              <w:t xml:space="preserve">盐水质在线自动监测仪，依据国家标准GB/T 11892-1989《水质-高锰酸盐指数的测定》，测量范围0~20mg/L COD（可扩展），准确度不超过±3%FS，重复性不超过±2%FS，最小测量周期25分钟，采样周期支持时间间隔（10~9999min任意可调）和整点测量模式，校准方式为定期手动校准（无自动校准功能），维护周期一般每月一次（约30min），输出1路RS-232和1路4~20mA，环境要求温度可调的室内（建议+5~28℃）、湿度≤90%（不结露），电源AC230±10%V、50±10%Hz、5A</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供电单元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220V市电</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站点及控制单元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一体式站房</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安防单元：防雷单元、温度感应、烟雾感应、感应式开关</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电路与电信号采集单元：</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恒温单元、散热模块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10寸工业组态触摸屏</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UPS电源、稳压电源</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流通池模块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网络模组</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数据采集单元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电路数控模组</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1.支持设定定时自动洗井采样测定</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2.支持在线自动完成水质监测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3.支持在线实时数据记录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4.支持泄降保护</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PLC模组</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在线控制软件</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数据采集记录模块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数据上传模块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洗井采样单元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低扰动潜水泵</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 泵体材质：不锈钢；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 电机为无刷电机；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6泵体重量：≤1.8kg；</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7流速可调，符合 VOC 采样要求，最小流速≤0.1L/min；最大流速≥15L/min，大流量洗井，小流量采样；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9钢丝绳带米标；方便读取下放深度；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10泵体可徒手拆卸，清洗便捷；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采用低流量潜水采样泵洗井和取样，采样泵额定扬程不小于45m，泵体外径小于50mm。流速控制：功率、转速可调，20m以内压水扬程下的流速控制范围达到0.1-10L/min，实际流速调节分辨率高于5%RD，0.1L/min下流速波动≤±10%RD，兼顾VOCs等指标低速低扰动采样与大流量洗井抽水需求。</w:t>
            </w:r>
            <w:r/>
          </w:p>
          <w:p>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 泵体材质：不锈钢；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 电机为无刷电机；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6泵体重量：≤1.8kg；</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7流速可调，符合 VOC 采样要求，最小流速≤0.1L/min；最大流速≥15L/min，大流量洗井，小流量采样；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9钢丝绳带米标；方便读取下放深度；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10泵体可徒手拆卸，清洗便捷；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采用低流量潜水采样泵洗井和取样，采样泵额定扬程不小于45m，泵体外径小于50mm。流速控制：功率、转速可调，20m以内压水扬程下的流速控制范围达到0.1-10L/min，实际流速调节分辨率高于5%RD，0.1L/min下流速波动≤±10%RD，兼顾VOCs等指标低速低扰动采样与大流量洗井抽水需求。</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流量计</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1)实时显示瞬时流量（L/min）和累计流量（L）；</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2)支持0.1 L/min的微小流量检测和30L/min大流量监测，满足精密控制需求；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3)精度≤0.5%FS；</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清洗和反冲洗模块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过滤模块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水路模块</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运维</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numPr>
                <w:ilvl w:val="0"/>
                <w:numId w:val="5"/>
              </w:num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日常巡检：设备外观检查、运行状态核查、站点环境巡检；</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 定期维护：每个季度全面清洁、参数校准、管路检查，清洗；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 试剂更换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4.纯水按月更换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5.每个季度做一次跟第三方检测公司实际水样比对，并出具报告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 废液处理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 故障处理：2小时内远程响应，48小时内现场排查维修；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 技术支持：7×12小时在线技术咨询服务</w:t>
            </w:r>
            <w:r/>
          </w:p>
          <w:p>
            <w:pPr>
              <w:pStyle w:val="1127"/>
              <w:rPr>
                <w:color w:val="auto"/>
                <w:highlight w:val="none"/>
              </w:rPr>
            </w:pPr>
            <w:r>
              <w:rPr>
                <w:rFonts w:ascii="宋体;SimSun" w:hAnsi="宋体;SimSun" w:cs="宋体;SimSun"/>
                <w:color w:val="auto"/>
                <w:highlight w:val="none"/>
              </w:rPr>
              <w:t xml:space="preserve">9.包含电费、水费以及网络通讯费。</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其他</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设备运输、现场安装调试、操作培训、站房地面基础施工。</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其他配件</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安全防护栏杆、防盗锁、警示标识牌、科普宣传牌</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gridSpan w:val="7"/>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 xml:space="preserve">三、地下水监测站（标准站）</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仪器、装置名称</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参数</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质保</w:t>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地下水检测单元</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水位</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静压</w:t>
            </w:r>
            <w:r>
              <w:rPr>
                <w:rFonts w:ascii="宋体;SimSun" w:hAnsi="宋体;SimSun" w:eastAsia="宋体;SimSun" w:cs="宋体;SimSun"/>
                <w:color w:val="auto"/>
                <w:sz w:val="20"/>
                <w:szCs w:val="20"/>
                <w:highlight w:val="none"/>
              </w:rPr>
              <w:t xml:space="preserve">式液位计，量程0~10mH₂O，精度&lt;±0.1%F·S（可选0.2%F.S、0.5%F.S），长期稳定性&lt;0.1%F·S/年（可选0.2%F.S/年、0.5%F.S/年），过载能力5倍量程，存储温度-40~125°C，供电电压DC5~30V（典型24V），具备防反接和过电压保护，输出方式为RS485/MODBUS-RTU协议（可带128个节点），测量介质需与不锈钢316L、氟橡胶兼容，壳体材质不锈钢316L，电缆为聚氨酯材质Φ7.6mm带导气孔屏蔽层（长度可定制），防护等级IP68，绝缘100MΩ@50V。</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4年</w:t>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温度</w:t>
            </w:r>
            <w:r/>
          </w:p>
        </w:tc>
        <w:tc>
          <w:tcPr>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电导率传感器，外壳材质为ABS和ABS/PC合金，采用电极法测量原理，量程0~5000μS/cm（TDS 0-3000 mg/L），精度为读数的±1.5%，温度精度±0.3℃，响应时间&lt;T30s (T90)，最低检出限2μS/cm，支持两点校准和自动温度补偿（Pt1000），清洁方式为自动清洁，输出方式RS-485 (Modbus RTU)，存储温度-5~65℃，工作条件0~50℃、≤0.6MPa，功耗0.1W@12V，供电12~24VDC，防护等级IP68，线缆长度可定制。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电导率</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pH</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pH传感器，外壳材质为ABS/PC合金，采用玻璃电极法测量原理，量程0~14.00（分辨率0.01），精度±0.1，温度精度±0.3℃，响应时间&lt;30s (T90)，最低检出限0.1，支持两点校准和自动温度补偿（Pt1000），输出方式RS-485 (Modbus RTU)，存储温度-5~65℃，工作条件0~50℃、≤0.2MPa，功耗0.2W@12V，供电12~24VDC，防护等级IP68，线缆长度可定制。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浊度</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浊度传感器，外壳材质为POM、ABS，采用散射光法测量原理，量程支持0~20.00NTU（分辨率0.01NTU/0.1℃）、0~200.0NTU（分辨率0.01NTU/0.1℃）、0~1000.</w:t>
            </w:r>
            <w:r>
              <w:rPr>
                <w:rFonts w:ascii="宋体;SimSun" w:hAnsi="宋体;SimSun" w:eastAsia="宋体;SimSun" w:cs="宋体;SimSun"/>
                <w:color w:val="auto"/>
                <w:sz w:val="20"/>
                <w:szCs w:val="20"/>
                <w:highlight w:val="none"/>
              </w:rPr>
              <w:t xml:space="preserve">0NTU，精度根据量程不同分别为：±3%或±1.5NTU（0~20.00NTU）、±3%或±2NTU（0~200.0NTU）、±5%或±3NTU（0~1000.0NTU），精度均包含±0.3℃，响应时间&lt;30s（T90），最低检出限0.01NTU（0-20NTU量程）和0.3NTU，支持两点校准和自动温度补偿（Pt1000），输出方式RS-485 (Modbus/RTU)，存储温度-5~65℃，工作条件0~50℃、&lt;0.2MPa，功耗0.2W@12V，供电12~24VDC，防护等级IP68，线缆长度可定制。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氧化还原电位</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ORP传感器，外壳材质为ABS/PC合金，采用铂电极法测量原理，量程-1500~+1500mV（分辨率1mV），精度±20mV，响应时间&lt;30s（T90），支持一点校准，输出方式RS-485 (Modbus/RTU)，存储温度-5~65℃，工作条件0~50℃、≤0.2MPa，功耗0.2W@12V，供电12~24VDC，防护等级IP68，线缆长度可定制。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溶解氧</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溶</w:t>
            </w:r>
            <w:r>
              <w:rPr>
                <w:rFonts w:ascii="宋体;SimSun" w:hAnsi="宋体;SimSun" w:eastAsia="宋体;SimSun" w:cs="宋体;SimSun"/>
                <w:color w:val="auto"/>
                <w:sz w:val="20"/>
                <w:szCs w:val="20"/>
                <w:highlight w:val="none"/>
              </w:rPr>
              <w:t xml:space="preserve">解氧传感器，外壳材质为POM、ABS/PC合金、316L不锈钢，采用荧光法测量原理，量程0~20.00mg/L（0~200%饱和度，25℃），分辨率0.01mg/L、0.1℃，精度±2%±0.3℃，响应时间&lt;30s（T90），最低检出限0.08mg/L，支持两点校准和自动温度补偿（Pt1000），输出方式RS-485 (Modbus RTU)，存储温度-5~65℃，工作条件0~50℃、≤0.2MPa，功耗0.2W@12V，供电12~24VDC，防护等级IP68，荧光膜头寿命1年（正常工况），线缆长度可定制。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氨氮分析仪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氨氮（水杨酸钠）水质在线自动监测仪，采用水杨酸分光光度法，测量范围0~100mg</w:t>
            </w:r>
            <w:r>
              <w:rPr>
                <w:rFonts w:ascii="宋体;SimSun" w:hAnsi="宋体;SimSun" w:eastAsia="宋体;SimSun" w:cs="宋体;SimSun"/>
                <w:color w:val="auto"/>
                <w:sz w:val="20"/>
                <w:szCs w:val="20"/>
                <w:highlight w:val="none"/>
              </w:rPr>
              <w:t xml:space="preserve">/L氨氮（分档0-8mg/L、0.1-30mg/L、5-100mg/L），准确度不超过±10%或不超过±0.2mg/L，重复性不超过±5%或不超过±0.2mg/L，最小测量周期20分钟（5~120min可调），采样周期支持时间间隔（10~9999min任意可调）和整点测量模式，校准周期1~99天任意间隔任意时刻可调，维护周期一般每月一次（约30min），输出2路RS-232和1路4~20mA，环境要求温度可调的室内（建议+5~28℃）、湿度≤90%（不结露），电源AC230±10%V、50±10%Hz、5A</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高锰酸盐指数分析仪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高锰酸</w:t>
            </w:r>
            <w:r>
              <w:rPr>
                <w:rFonts w:ascii="宋体;SimSun" w:hAnsi="宋体;SimSun" w:eastAsia="宋体;SimSun" w:cs="宋体;SimSun"/>
                <w:color w:val="auto"/>
                <w:sz w:val="20"/>
                <w:szCs w:val="20"/>
                <w:highlight w:val="none"/>
              </w:rPr>
              <w:t xml:space="preserve">盐水质在线自动监测仪，依据国家标准GB/T 11892-1989《水质-高锰酸盐指数的测定》，测量范围0~20mg/L COD（可扩展），准确度不超过±3%FS，重复性不超过±2%FS，最小测量周期25分钟，采样周期支持时间间隔（10~9999min任意可调）和整点测量模式，校准方式为定期手动校准（无自动校准功能），维护周期一般每月一次（约30min），输出1路RS-232和1路4~20mA，环境要求温度可调的室内（建议+5~28℃）、湿度≤90%（不结露），电源AC230±10%V、50±10%Hz、5A</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氟化物分析仪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氟化物水质在线自动监测仪，采用氟试剂</w:t>
            </w:r>
            <w:r>
              <w:rPr>
                <w:rFonts w:ascii="宋体;SimSun" w:hAnsi="宋体;SimSun" w:eastAsia="宋体;SimSun" w:cs="宋体;SimSun"/>
                <w:color w:val="auto"/>
                <w:sz w:val="20"/>
                <w:szCs w:val="20"/>
                <w:highlight w:val="none"/>
              </w:rPr>
              <w:t xml:space="preserve">分光光度法，测量范围0~10mg/L氟离子（分档0-0.5mg/L、0.2-2mg/L、1-10mg/L），准确度不超过±10%或不超过±3%FS，重复性不超过±5%或不超过±2%FS，最小测量周期25分钟，采样周期支持时间间隔（10~9999min任意可调）和整点测量模式，校准方式为定期手动校准（无自动校准功能），维护周期一般每月一次（约30min），输出1路RS-232和1路4~20mA，环境要求温度可调的室内（建议+5~28℃）、湿度≤90%（不结露），电源AC230±10%V、50±10%Hz、5A</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氯化物分析仪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氯化物水质在线自动监测仪，采用氯化银分光光度法，检测量程（1~100）mg/L（可扩展），示值误差±0.1 mg/L，零点漂移±5%F.S，量程漂移±5%F.S，重复性≤0.05，测量周期（20~30）min，通讯接口支持RS232/RS485和（4~20）mA输出。</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站房及配套</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一体化站房</w:t>
            </w:r>
            <w:r/>
          </w:p>
        </w:tc>
        <w:tc>
          <w:tcPr>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定制，满足监测系统动环功能需求</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站房地基</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空调</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操作台</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洗手池</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配电箱</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照明</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废液收集箱</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灭火器</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防雷装置</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温度报警器</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烟雾报警器</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有毒有害易燃气体报警器</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排风扇</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冰箱</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监控</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配电电缆</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主控制单元</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PLC控制系统</w:t>
            </w:r>
            <w:r/>
          </w:p>
        </w:tc>
        <w:tc>
          <w:tcPr>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1.支持设定定时自动洗井采样测定</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2.支持在线自动完成水质判断</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3.支持在线实时数据记录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4.支持泄降保护</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组态屏</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集成电控系统</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集成控制软件</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UPS不间断电源</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稳压电源</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数据采集单元</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数采仪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数采仪，配备7寸真彩TFT液晶触摸屏（分辨率800*480），支持8路模拟量输入（精度12位A/D）、4路开关量输出（触点负载阻性5A 250VAC/30VDC）、4路光耦隔离开关量输入（输入直</w:t>
            </w:r>
            <w:r>
              <w:rPr>
                <w:rFonts w:ascii="宋体;SimSun" w:hAnsi="宋体;SimSun" w:eastAsia="宋体;SimSun" w:cs="宋体;SimSun"/>
                <w:color w:val="auto"/>
                <w:sz w:val="20"/>
                <w:szCs w:val="20"/>
                <w:highlight w:val="none"/>
              </w:rPr>
              <w:t xml:space="preserve">流9~24V），通信接口包括5路RS-232、2路RS-485、1路10/100M自适应以太网口（RJ45），内部存储容量512M，支持TF卡扩展最大32G，传输方式支持TCP、UDP、SMS，配备标准SIM卡槽和50Ω SMA-K天线接口，时钟精度5ppm，支持硬件看门狗，MTBF&gt;30000小时，内置备用电源（充电电压8.4V、充电电流0-500mA、电池容量4000mAH），断电可持续工作6小时以上，工作环境温度-10~55℃、湿度不高于95%，供电电压AC220V，机箱尺寸320×380×85mm。</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洗井采样单元</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低流量洗井采样潜水泵</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 泵体材质：不锈钢；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 电机为无刷电机；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6泵体重量：≤1.8kg；</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7流速可调，符合 VOC 采样要求，最小流速≤0.1L/min；最大流速≥15L/min，大流量洗井，小流量采样；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9钢丝绳带米标；方便读取下放深度；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10泵体可徒手拆卸，清洗便捷；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11采用低流量潜水采样泵洗井和取样，采样泵扬程不小于45 m，泵外径小于50mm。流速控制：功率、转速可调，20m以内压水扬程下的流速控制范围达到0.1-10L/min，实际流速调节分辨率高于5%RD，0.1L/min下流速波动≤±10%RD，兼顾VOCs等指标低速低扰动采样与大流量洗井抽水需求。</w:t>
            </w:r>
            <w:r/>
          </w:p>
          <w:p>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 泵体材质：不锈钢；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 电机为无刷电机；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6泵体重量：≤1.8kg；</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7流速可调，符合 VOC 采样要求，最小流速≤0.1L/min；最大流速≥15L/min，大流量洗井，小流量采样；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9钢丝绳带米标；方便读取下放深度；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10泵体可徒手拆卸，清洗便捷；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11采用低流量潜水采样泵洗井和取样，采样泵扬程不小于45 m，泵外径小于50mm。流速控制：功率、转速可调，20m以内压水扬程下的流速控制范围达到0.1-10L/min，实际流速调节分辨率高于5%RD，0.1L/min下流速波动≤±10%RD，兼顾VOCs等指标低速低扰动采样与大流量洗井抽水需求。</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高精度电磁流量计</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1)实时显示瞬时流量（L/min）和累计流量（L）；</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2)支持0.1 L/min的微小流量检测和30L/min大流量监测，满足精密控制需求；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3)精度≤0.5%FS；</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配水及清洗单元</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电动球阀</w:t>
            </w:r>
            <w:r/>
          </w:p>
        </w:tc>
        <w:tc>
          <w:tcPr>
            <w:tcBorders>
              <w:top w:val="single" w:color="000000" w:sz="4" w:space="0"/>
              <w:left w:val="single" w:color="000000" w:sz="4" w:space="0"/>
              <w:bottom w:val="single" w:color="000000" w:sz="4" w:space="0"/>
              <w:right w:val="single" w:color="000000" w:sz="4" w:space="0"/>
            </w:tcBorders>
            <w:tcW w:w="6108" w:type="dxa"/>
            <w:vAlign w:val="center"/>
            <w:vMerge w:val="restart"/>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过滤器</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球阀</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清洗和反冲洗模块</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废水箱</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空压机</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管路（采样、清洗、冲洗）</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保温材料</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辅材</w:t>
            </w:r>
            <w:r/>
          </w:p>
        </w:tc>
        <w:tc>
          <w:tcPr>
            <w:tcBorders>
              <w:top w:val="single" w:color="000000" w:sz="4" w:space="0"/>
              <w:left w:val="single" w:color="000000" w:sz="4" w:space="0"/>
              <w:bottom w:val="single" w:color="000000" w:sz="4" w:space="0"/>
              <w:right w:val="single" w:color="000000" w:sz="4" w:space="0"/>
            </w:tcBorders>
            <w:tcW w:w="6108" w:type="dxa"/>
            <w:vAlign w:val="center"/>
            <w:vMerge w:val="continue"/>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运输、现场调试、培训</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设备运输、现场安装调试、操作培训、站房地面基础施工。</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运维</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numPr>
                <w:ilvl w:val="0"/>
                <w:numId w:val="6"/>
              </w:num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日常巡检：设备外观检查、运行状态核查、站点环境巡检；</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 定期维护：每个季度全面清洁、参数校准、管路检查，清洗；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 试剂更换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4.纯水按月更换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5.每个季度做一次跟第三方检测公司实际水样比对，并出具报告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 废液处理 </w:t>
            </w:r>
            <w:r/>
          </w:p>
          <w:p>
            <w:pPr>
              <w:pStyle w:val="1127"/>
              <w:rPr>
                <w:rFonts w:ascii="宋体;SimSun" w:hAnsi="宋体;SimSun" w:cs="宋体;SimSun"/>
                <w:color w:val="auto"/>
                <w:highlight w:val="none"/>
              </w:rPr>
            </w:pPr>
            <w:r>
              <w:rPr>
                <w:rFonts w:ascii="宋体;SimSun" w:hAnsi="宋体;SimSun" w:cs="宋体;SimSun"/>
                <w:color w:val="auto"/>
                <w:highlight w:val="none"/>
              </w:rPr>
              <w:t xml:space="preserve">7.包含供电接入、网卡、电费、水费以及网络通讯费。</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其他配件</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安全防护栏杆、防盗锁、警示标识牌、科普宣传牌</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gridSpan w:val="7"/>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 xml:space="preserve">四、上风向标准站的升级改造</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仪器、装置名称</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参数</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质保</w:t>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数据分析单元</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动态校准仪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（1）设备用途：能依据外接标准气体种类提供精确浓度的标准气体输出，完成大气自动监测分析仪器的零点、跨度、精密度及多点校准工作。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（2）技术参数要求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1、基本单元</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1）稀释气流量范围：(0~10)SLPM，可扩展；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流量线性误差：±1%读数（包含20%-80%满量程范围内）。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2）标气流量范围：(0~100) sccm，可扩展；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流量线性误差：±1%读数（包含20%-80%满量程范围内）。</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2、臭氧配气模块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1）线性度：±1% 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2）重复性：≤1% 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3）稳定时间：（T98）≤300s；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4）零点漂移（24 h）：±1ppb；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5）量程漂移：±5 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6）臭氧发生浓度误差：±2%读数（包含50-500ppb范围）</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（3）产品性能要求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1）具有中文触摸式彩屏，方便查询、操作维护；</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2）具备开机自检和运行自诊断功能；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3）采用高精度质量流量计进行流量控制，最大可实现1:1000的样气配比；</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4）具备RS232或RS485接口，支持软件系统升级；</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4年</w:t>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PM</w:t>
            </w:r>
            <w:r>
              <w:rPr>
                <w:rFonts w:ascii="宋体;SimSun" w:hAnsi="宋体;SimSun" w:eastAsia="宋体;SimSun" w:cs="宋体;SimSun"/>
                <w:color w:val="auto"/>
                <w:sz w:val="20"/>
                <w:szCs w:val="20"/>
                <w:highlight w:val="none"/>
                <w:vertAlign w:val="subscript"/>
              </w:rPr>
              <w:t xml:space="preserve">2.5</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（1）设备用途：用于空气中PM2.5颗粒物质量浓度的监测。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（2）配置要求：含PM2.5切割头、采样纸带等。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（3）技术参数要求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1）分析方法：β射线吸收法；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2）测量范围：0~1000μg/m</w:t>
            </w:r>
            <w:r>
              <w:rPr>
                <w:rFonts w:ascii="宋体;SimSun" w:hAnsi="宋体;SimSun" w:eastAsia="宋体;SimSun" w:cs="宋体;SimSun"/>
                <w:color w:val="auto"/>
                <w:sz w:val="20"/>
                <w:szCs w:val="20"/>
                <w:highlight w:val="none"/>
                <w:vertAlign w:val="superscript"/>
              </w:rPr>
              <w:t xml:space="preserve">3</w:t>
            </w:r>
            <w:r>
              <w:rPr>
                <w:rFonts w:ascii="宋体;SimSun" w:hAnsi="宋体;SimSun" w:eastAsia="宋体;SimSun" w:cs="宋体;SimSun"/>
                <w:color w:val="auto"/>
                <w:sz w:val="20"/>
                <w:szCs w:val="20"/>
                <w:highlight w:val="none"/>
              </w:rPr>
              <w:t xml:space="preserve">；</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3）最小显示单位：0.1μg/m</w:t>
            </w:r>
            <w:r>
              <w:rPr>
                <w:rFonts w:ascii="宋体;SimSun" w:hAnsi="宋体;SimSun" w:eastAsia="宋体;SimSun" w:cs="宋体;SimSun"/>
                <w:color w:val="auto"/>
                <w:sz w:val="20"/>
                <w:szCs w:val="20"/>
                <w:highlight w:val="none"/>
                <w:vertAlign w:val="superscript"/>
              </w:rPr>
              <w:t xml:space="preserve">3</w:t>
            </w:r>
            <w:r>
              <w:rPr>
                <w:rFonts w:ascii="宋体;SimSun" w:hAnsi="宋体;SimSun" w:eastAsia="宋体;SimSun" w:cs="宋体;SimSun"/>
                <w:color w:val="auto"/>
                <w:sz w:val="20"/>
                <w:szCs w:val="20"/>
                <w:highlight w:val="none"/>
              </w:rPr>
              <w:t xml:space="preserve">；</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4）校准膜示值误差：±0.5%；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5）温度测量示值误差：±0.5℃；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6）湿度测量示值误差：±2%RH；</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7）时钟误差：±1s；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8）流量测试：平均流量偏差±0.3%，流量相对标准偏差≤0.2%，平均流量示值误差≤0.3%；</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9）平行性：≤15%；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10）有效数据率：≥99.9%；</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11）相关系数：≥0.95；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（4）产品性能要求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1）具有中文触摸式彩屏，方便查询、操作维护；</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2）具备开机自检和运行自诊断功能；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3）可自动存储校准数据及报警信息；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4）支持一键查询历史数据；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5）具备RS232或RS485接口，支持软件系统升级；</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6）采用动态加热方法解决雨天高湿天气对测量浓度影响；</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7）仪器内置校准膜片，支持自动校准；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8）支持整点及周期测量模式；</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9）测量仪器具有特定标志触发滤纸用完预警功能；</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SO</w:t>
            </w:r>
            <w:r>
              <w:rPr>
                <w:rFonts w:ascii="宋体;SimSun" w:hAnsi="宋体;SimSun" w:eastAsia="宋体;SimSun" w:cs="宋体;SimSun"/>
                <w:color w:val="auto"/>
                <w:sz w:val="20"/>
                <w:szCs w:val="20"/>
                <w:highlight w:val="none"/>
                <w:vertAlign w:val="subscript"/>
              </w:rPr>
              <w:t xml:space="preserve">2</w:t>
            </w:r>
            <w:r>
              <w:rPr>
                <w:rFonts w:ascii="宋体;SimSun" w:hAnsi="宋体;SimSun" w:eastAsia="宋体;SimSun" w:cs="宋体;SimSun"/>
                <w:color w:val="auto"/>
                <w:sz w:val="20"/>
                <w:szCs w:val="20"/>
                <w:highlight w:val="none"/>
              </w:rPr>
              <w:t xml:space="preserve">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（1）设备用途：用于空气中二氧化硫浓度的监测。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（2）配置要求：含过滤滤膜等。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（3）技术参数要求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1）分析方法：紫外脉冲荧光法；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2）量程范围：0-500ppb；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3）零点噪声：≤0.2ppb；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4）量程噪声：≤2.5ppb；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5）最低检测限：≤0.4ppb；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6）示值误差：±1%F.S.；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7）20%量程精密度：≤2ppb；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8）80%量程精密度：≤4ppb；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9）24h零点漂移：±1 ppb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10）24h 20%量程漂移：±2.5ppb；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11）24h 80%量程漂移：±5ppb；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12）响应时间（上升/下降）：≤90s；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13）电压稳定性：±0.4%F.S.；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14）流量稳定性：±10%；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15）环境温度变化影响：≤0.2 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16）长期零点漂移（7d）：±2ppb；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17）长期量程漂移（7d）：±5ppb；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18）H2O 干扰（2% H2O）:±0.15%F.S；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19）甲苯干扰（100ppb 甲苯）:±0.15%F.S；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（4）产品性能要求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1）具有中文触摸式彩屏，方便查询、操作维护；</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2）具备开机自检和运行自诊断功能；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3）可自动存储校准数据及报警信息；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4）支持一键查询与导出历史数据，包括浓度、关键参数（包括信号、流量、压力、温度、驱动电压）等信息；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5）具备RS232或RS485接口，支持远程软件系统升级；</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NO</w:t>
            </w:r>
            <w:r>
              <w:rPr>
                <w:rFonts w:ascii="宋体;SimSun" w:hAnsi="宋体;SimSun" w:eastAsia="宋体;SimSun" w:cs="宋体;SimSun"/>
                <w:color w:val="auto"/>
                <w:sz w:val="20"/>
                <w:szCs w:val="20"/>
                <w:highlight w:val="none"/>
                <w:vertAlign w:val="subscript"/>
              </w:rPr>
              <w:t xml:space="preserve">2</w:t>
            </w:r>
            <w:r>
              <w:rPr>
                <w:rFonts w:ascii="宋体;SimSun" w:hAnsi="宋体;SimSun" w:eastAsia="宋体;SimSun" w:cs="宋体;SimSun"/>
                <w:color w:val="auto"/>
                <w:sz w:val="20"/>
                <w:szCs w:val="20"/>
                <w:highlight w:val="none"/>
              </w:rPr>
              <w:t xml:space="preserve">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（1）设备用途：用于空气中NO、NO</w:t>
            </w:r>
            <w:r>
              <w:rPr>
                <w:rFonts w:ascii="宋体;SimSun" w:hAnsi="宋体;SimSun" w:eastAsia="宋体;SimSun" w:cs="宋体;SimSun"/>
                <w:color w:val="auto"/>
                <w:sz w:val="20"/>
                <w:szCs w:val="20"/>
                <w:highlight w:val="none"/>
                <w:vertAlign w:val="subscript"/>
              </w:rPr>
              <w:t xml:space="preserve">2</w:t>
            </w:r>
            <w:r>
              <w:rPr>
                <w:rFonts w:ascii="宋体;SimSun" w:hAnsi="宋体;SimSun" w:eastAsia="宋体;SimSun" w:cs="宋体;SimSun"/>
                <w:color w:val="auto"/>
                <w:sz w:val="20"/>
                <w:szCs w:val="20"/>
                <w:highlight w:val="none"/>
              </w:rPr>
              <w:t xml:space="preserve">、NOx浓度的监测。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（2）配置要求：含过滤滤膜等。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（3）技术参数要求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1）分析方法：化学发光法；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2）测量范围：0-500ppb；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3）零点噪声：≤0.1ppb；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4）量程噪声：≤2.5ppb；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5）最低检出限：≤0.2ppb；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6）示值误差：±1%F.S.；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7）20%量程精密度：≤2ppb；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8）80%量程精密度：≤4ppb；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9）24h零点漂移：±0.1ppb；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10）24h 20%量程漂移：±5ppb；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11）24h 80%量程漂移：±5ppb；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12）响应时间（上升/下降）：≤20s；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13）环境温度变化影响：≤0.3ppb/℃；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14）长期零点漂移（7d）：±0.5ppb；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15）长期量程漂移（7d）：±5ppb；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16）H</w:t>
            </w:r>
            <w:r>
              <w:rPr>
                <w:rFonts w:ascii="宋体;SimSun" w:hAnsi="宋体;SimSun" w:eastAsia="宋体;SimSun" w:cs="宋体;SimSun"/>
                <w:color w:val="auto"/>
                <w:sz w:val="20"/>
                <w:szCs w:val="20"/>
                <w:highlight w:val="none"/>
                <w:vertAlign w:val="subscript"/>
              </w:rPr>
              <w:t xml:space="preserve">2</w:t>
            </w:r>
            <w:r>
              <w:rPr>
                <w:rFonts w:ascii="宋体;SimSun" w:hAnsi="宋体;SimSun" w:eastAsia="宋体;SimSun" w:cs="宋体;SimSun"/>
                <w:color w:val="auto"/>
                <w:sz w:val="20"/>
                <w:szCs w:val="20"/>
                <w:highlight w:val="none"/>
              </w:rPr>
              <w:t xml:space="preserve">O 干扰（2.5% H</w:t>
            </w:r>
            <w:r>
              <w:rPr>
                <w:rFonts w:ascii="宋体;SimSun" w:hAnsi="宋体;SimSun" w:eastAsia="宋体;SimSun" w:cs="宋体;SimSun"/>
                <w:color w:val="auto"/>
                <w:sz w:val="20"/>
                <w:szCs w:val="20"/>
                <w:highlight w:val="none"/>
                <w:vertAlign w:val="subscript"/>
              </w:rPr>
              <w:t xml:space="preserve">2</w:t>
            </w:r>
            <w:r>
              <w:rPr>
                <w:rFonts w:ascii="宋体;SimSun" w:hAnsi="宋体;SimSun" w:eastAsia="宋体;SimSun" w:cs="宋体;SimSun"/>
                <w:color w:val="auto"/>
                <w:sz w:val="20"/>
                <w:szCs w:val="20"/>
                <w:highlight w:val="none"/>
              </w:rPr>
              <w:t xml:space="preserve">O）:±0.1%F.S；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17）NH</w:t>
            </w:r>
            <w:r>
              <w:rPr>
                <w:rFonts w:ascii="宋体;SimSun" w:hAnsi="宋体;SimSun" w:eastAsia="宋体;SimSun" w:cs="宋体;SimSun"/>
                <w:color w:val="auto"/>
                <w:sz w:val="20"/>
                <w:szCs w:val="20"/>
                <w:highlight w:val="none"/>
                <w:vertAlign w:val="subscript"/>
              </w:rPr>
              <w:t xml:space="preserve">3</w:t>
            </w:r>
            <w:r>
              <w:rPr>
                <w:rFonts w:ascii="宋体;SimSun" w:hAnsi="宋体;SimSun" w:eastAsia="宋体;SimSun" w:cs="宋体;SimSun"/>
                <w:color w:val="auto"/>
                <w:sz w:val="20"/>
                <w:szCs w:val="20"/>
                <w:highlight w:val="none"/>
              </w:rPr>
              <w:t xml:space="preserve"> 干扰（1 ppm NH</w:t>
            </w:r>
            <w:r>
              <w:rPr>
                <w:rFonts w:ascii="宋体;SimSun" w:hAnsi="宋体;SimSun" w:eastAsia="宋体;SimSun" w:cs="宋体;SimSun"/>
                <w:color w:val="auto"/>
                <w:sz w:val="20"/>
                <w:szCs w:val="20"/>
                <w:highlight w:val="none"/>
                <w:vertAlign w:val="subscript"/>
              </w:rPr>
              <w:t xml:space="preserve">3</w:t>
            </w:r>
            <w:r>
              <w:rPr>
                <w:rFonts w:ascii="宋体;SimSun" w:hAnsi="宋体;SimSun" w:eastAsia="宋体;SimSun" w:cs="宋体;SimSun"/>
                <w:color w:val="auto"/>
                <w:sz w:val="20"/>
                <w:szCs w:val="20"/>
                <w:highlight w:val="none"/>
              </w:rPr>
              <w:t xml:space="preserve">）:±0.1% 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（4）产品性能要求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1）具有中文触摸式彩屏，方便查询、操作维护；</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2）具备开机自检和运行自诊断功能；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3）可自动存储校准数据及报警信息；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4）支持一键查询历史数据；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5）具备RS232或RS485接口，支持软件系统升级；</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O</w:t>
            </w:r>
            <w:r>
              <w:rPr>
                <w:rFonts w:ascii="宋体;SimSun" w:hAnsi="宋体;SimSun" w:eastAsia="宋体;SimSun" w:cs="宋体;SimSun"/>
                <w:color w:val="auto"/>
                <w:sz w:val="20"/>
                <w:szCs w:val="20"/>
                <w:highlight w:val="none"/>
                <w:vertAlign w:val="subscript"/>
              </w:rPr>
              <w:t xml:space="preserve">3</w:t>
            </w:r>
            <w:r>
              <w:rPr>
                <w:rFonts w:ascii="宋体;SimSun" w:hAnsi="宋体;SimSun" w:eastAsia="宋体;SimSun" w:cs="宋体;SimSun"/>
                <w:color w:val="auto"/>
                <w:sz w:val="20"/>
                <w:szCs w:val="20"/>
                <w:highlight w:val="none"/>
              </w:rPr>
              <w:t xml:space="preserve">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（1）设备用途：用于空气中臭氧浓度的监测。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（2）配置要求：含过滤滤膜等。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（3）技术参数要求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1）分析方法：紫外吸收光度法；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2）测量范围：0-500ppb；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3）零点噪声：≤0.1ppb；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4）量程噪声：≤1ppb；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5）最低检出限：≤0.2ppb；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6）示值误差：±1%F.S.；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7）20%量程精密度：≤1ppb；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8）80%量程精密度：≤2ppb；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9）24h零点漂移：±0.5ppb；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10）24h 20%量程漂移：±4ppb；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11）24h 80%量程漂移：±4ppb；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12）响应时间（上升/下降）：≤20s；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13）电压稳定性：±0.4%F.S.；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14）流量稳定性：≤±10%；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15）环境温度变化影响：≤0.2ppb/℃；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16）长期零点漂移（7d）：±0.5ppb；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17）长期量程漂移（7d）：±4ppb；</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18）水分干扰 (2% H</w:t>
            </w:r>
            <w:r>
              <w:rPr>
                <w:rFonts w:ascii="宋体;SimSun" w:hAnsi="宋体;SimSun" w:eastAsia="宋体;SimSun" w:cs="宋体;SimSun"/>
                <w:color w:val="auto"/>
                <w:sz w:val="20"/>
                <w:szCs w:val="20"/>
                <w:highlight w:val="none"/>
                <w:vertAlign w:val="subscript"/>
              </w:rPr>
              <w:t xml:space="preserve">2</w:t>
            </w:r>
            <w:r>
              <w:rPr>
                <w:rFonts w:ascii="宋体;SimSun" w:hAnsi="宋体;SimSun" w:eastAsia="宋体;SimSun" w:cs="宋体;SimSun"/>
                <w:color w:val="auto"/>
                <w:sz w:val="20"/>
                <w:szCs w:val="20"/>
                <w:highlight w:val="none"/>
              </w:rPr>
              <w:t xml:space="preserve">O)：±0.15% 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19）NO</w:t>
            </w:r>
            <w:r>
              <w:rPr>
                <w:rFonts w:ascii="宋体;SimSun" w:hAnsi="宋体;SimSun" w:eastAsia="宋体;SimSun" w:cs="宋体;SimSun"/>
                <w:color w:val="auto"/>
                <w:sz w:val="20"/>
                <w:szCs w:val="20"/>
                <w:highlight w:val="none"/>
                <w:vertAlign w:val="subscript"/>
              </w:rPr>
              <w:t xml:space="preserve">2</w:t>
            </w:r>
            <w:r>
              <w:rPr>
                <w:rFonts w:ascii="宋体;SimSun" w:hAnsi="宋体;SimSun" w:eastAsia="宋体;SimSun" w:cs="宋体;SimSun"/>
                <w:color w:val="auto"/>
                <w:sz w:val="20"/>
                <w:szCs w:val="20"/>
                <w:highlight w:val="none"/>
              </w:rPr>
              <w:t xml:space="preserve">干扰（500ppb）：±0.15% F.S.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（4）产品性能要求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1）具有中文触摸式彩屏，方便查询、操作维护；</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2）具备开机自检和运行自诊断功能；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3）可自动存储校准数据及报警信息；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4）支持一键查询与导出历史数据，包括浓度、关键参数（包括信号、流量、压力、温度、驱动电压）等信息；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5）具备RS232或RS485接口，支持软件系统升级；</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6）具备光强衰减自检功能；</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UPS不间断电源</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（1）主机功率6KVA；</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（2）输入电压范围:110～160V；</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（3）输出电压：208/220/230/240V±1%；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（4）报警功能：电池低压、市电异常、UPS故障、输出过载、输出短路；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（5）保护功能：电池欠压保护、过载保护、短路保护、过温保护、输入过压保护。</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工控机</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主要技术参数要求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1）应能通过RS232、RS485通讯、有线网络、无线网络(含4G等)多种通讯方式，实现与分析仪器连接并采集仪器的测量结果和工作状态；</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2）软件每个采集定时器的周期与每个分析仪器测量周期应保持一致且一一对应，并且软件采集周期可设；</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3）应内置多种国内外通讯协议（“HJ 212-2017污染物在线监控（监测）系统数据传输标准”、Modbus等协议），兼容各类环境监测分析仪器；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4）应不少于8个串口；</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5）停电后应长期保存系统设置参数，电源恢复后可自动启动，进入工作状态；</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6）全面支持网络通讯：可以支持有线网络、无线网络(含4G等)多种通讯方式，所有具有数字通讯功能的设备均实现了远程网络通讯；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7）系统稳定性：整套软件运行于Windows系统之上，确保系统的稳定和安全；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8）系统安全性：数据采用加密传输和严格的权限控制，身份认证，确保系统不受内部和外来的安全威胁；</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（3）软件功能要求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1）数据上传：数据上传握手机制与断点续传机制，支持监测站点多通道监测数据上传（一点多发模式）；</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2）系统报警：系统应灵活设置各种报警方式；应远程显示现场工作状态、仪器设备故障自动报警、异常值自动报警，并能将报警信号自动发送至监控中心；</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3）设备控制：操作人员可在现场对设备进行校零、校标等操作或结合中心端软硬件平台远程对设备进行校零、校标等操作；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4）数据存储：系统应实时存储保存一年以上实时数据及小时均值；</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5）用户管理：系统具备严格的用户管理和权限控制功能；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6）数据备份：数据应实现异地备份与恢复；</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7）数据输出：数据采集与传输应支持数字量和模拟量输出，其中模拟量采集值与测量值误差≤1%（满量程）；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8）应具备测量数据及实时状态的查询功能，按需要进行各种方式的数据查询；数采软件应可正确显示分析仪测定的数据；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9）数据一致性：数采软件显示的监测数据对应的监测数据应与监测仪历史数据显示一致；</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10）时间一致性：数采软件须具备时间校准功能，保证任何时段检查所有分析设备时间与标准北京时间差距不超过3s；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11）应具备数据查询功能，不仅能查询一定时间段的历史数据，而且能查询5分钟均值、小时均值，并且配有形象的图形显示，便于用户了解各个参数随时间的变化趋势；</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12）仪器数据补遗：支持将测量仪器数据补遗到数采软件，防止数据缺失；</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13）仪器参数：支持将测量仪器参数（温度、压力、流量等参数）采集到数采软件，并上传给数据中心平台，需支持关键参数预警功能，临近报警限值需及时产生提醒信息；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14）平台补遗：在数据中心平台缺失数据情况下，应下发补遗命令给数采软件，补遗缺失数据。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（4）数据采集工控机硬件要求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1）CPU主频≥3GHz；</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2）内存大小≥2G；</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3）硬盘容量≥500G；</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4）串口情况：类型为RS232、数量≥6个。</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24口全千兆交换机，供电方式：可插拔电源，端口数量：24个，上行端口速率：千兆；下行端口速率：千兆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稳压电源</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可以最大程度保持输入电压的稳定，保持电源输出的电压恒定，为站点所有设备和工控机数据采集系统等提供稳定电源。</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机柜</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（1）机柜有接地孔线，所有的连接管线、接头等应采用防腐材质，不与被测污染物发生化学反应；</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（2）机柜应方便拆卸仪器与清洗仪器内部管路，机柜有可固定电缆线路的专用位置；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（3）采用立式机柜，可容纳本次采购的所有仪器包括其他的配套设备，散热性能良好。</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采样系统</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（1）采样装置：垂直层流式采样总管；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（2）采样头：防止雨水和粗大的颗粒物落入总管，同时避免鸟类、小动物和大型昆虫进入总管。采样头的设计保证采样气流不受风向影响，稳定进入总管；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（3）采样总管：总管内径范围在1.5-15cm，采样总管内的气流保持层流状态，采样气体在总管内的滞留时间小于20s，各支管接头之间间隔距离大于8cm；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（4）管线外壁加装保温套或加热器，加热温度控制在30℃~100℃；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（5）制作材料：不锈钢内衬聚四氟乙烯；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（6）样品相对湿度：≤80%；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（7）雷诺数&lt;2000。</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路由器</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千兆高速路由器，网口数量4个，FEM信号放大器数量4个。空间流数：8条。</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gridSpan w:val="7"/>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 xml:space="preserve">五、地表水监测站</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仪器、装置名称</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参数</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质保</w:t>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数智化一体化集装箱站房，含安装调试（pH、水温、电导率、浊度、溶解氧、COD、挥发酚水质指标）</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五参数分析仪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（1）水温</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1）测定原理：热电阻或热电偶法；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2）量程：0℃～60℃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3）测量误差：±0.5℃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4）MTBF：≥720h/次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（2）pH</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1）测定原理：玻璃电极法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2）量程：pH0～14</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3）漂移（pH=4、7、9）：±0.1pH</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4）重复性：±0.1pH</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5）响应时间：≤30s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6）温度补偿精度：±0.1pH</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7）MTBF：≥720h/次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（3）溶解氧</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1）测定原理：电极法或荧光法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2）量程：0～20mg/L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3）零点漂移：±0.3mg/L</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4）量程漂移：±0.3mg/L</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5）重复性误差：±0.3mg/L</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6）响应时间：≤120s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7）温度补偿精度：±0.3mg/L</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8）MTBF：≥720h/次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（4）电导率</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1）测定原理：电极法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2）量程：0～500mS/m</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3）重复性误差：±1%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4）零点漂移：±1%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5）量程漂移：±1%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6）响应时间：≤30s</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7）温度补偿精度：±1%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8）MTBF：≥720h/次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（5）浊度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1）测定原理：光散射法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2）量程：0～1000NTU </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3）重复性误差：±5%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4）零点漂移：±3%</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5）量程漂移：±5%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6）线性误差：±5%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7）MTBF：≥720h/次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智能化功能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1、自动质控周核查：系统可手动或按照设定周期自动运行质控核查流程，核查浓度方案依照地表水监测规范，且覆盖多个浓度；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2、自动标定：系统可手动或按照设定周期自动运行标定流程，并可在核查不通过时触发自动标定；</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3、实时工作状态监控：设备实时更新当前运行状态，包含：空闲、五参数测量、五参数核查、五参数标定；并上传水站控制系统；</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4、关键部件健康信息：五参数电极、器件使用时长信息记录，辅助运维备件替换提醒；</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5、关键参数信息记录：设备实时更新并读取五参数仪表的关键参数信息，包含：测量信号值，标液、核查液浓度，版本信息等过程监测信息。</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4年</w:t>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高锰酸盐指数</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测量原理 高锰酸钾氧化法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测量范围 (0～20) mg/L；量程可以根据客户需求定制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重复性误差 ≤1%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零点漂移 ≤1.5%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量程漂移 ≤1.5%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葡萄糖试验 ±1.5%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环境温度影响 ±5%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最小维护周期 ≥168h</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有效数据率 ≥90%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一致性 ≥90%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MTBF ≥720h/次</w:t>
            </w:r>
            <w:r/>
          </w:p>
          <w:p>
            <w:pPr>
              <w:jc w:val="left"/>
              <w:rPr>
                <w:color w:val="auto"/>
                <w:highlight w:val="none"/>
              </w:rPr>
            </w:pPr>
            <w:r>
              <w:rPr>
                <w:rFonts w:ascii="宋体;SimSun" w:hAnsi="宋体;SimSun" w:eastAsia="宋体;SimSun" w:cs="宋体;SimSun"/>
                <w:color w:val="auto"/>
                <w:sz w:val="20"/>
                <w:szCs w:val="20"/>
                <w:highlight w:val="none"/>
              </w:rPr>
              <w:t xml:space="preserve">取样和定量系统具有光电计量功能，采用光电计量传感器与自带驱动的柱塞泵组合定量取样方式，定量/计量不受液体浊度、色度、悬浮物、粘度等影响，同时可以对取样状态进行判断，保证定量准确、有效；取样/计量核心动力泵与试剂/样品非接触，无泵管老化、衰减、堵塞等问题，无泵管消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智能化功能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1、关键器件自检：具有关键部件状态自检功能，当启动器件自检流程时，设备可以对关键部件的运行状态进行诊断，给出预防和维护提示。同时也可支持远程反控进行器件自检，并上报自检结果。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故障诊断：当仪表发生故障报警时，及时中止流程，并提示和上报故障信息；当发生维护类告警时，仪表可以根据告警情况，启动自诊断流程进行报警恢复或诊断告警原因。例如试剂、纯水未抽取到报警、标定异常报警、信号调整异常报警、测量值异常等报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3、器件健康监测：具备关键器件和主要耗材的运行时长统计功能，指导运维人员合理进行备件准备和更换。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4、试剂余量及有效期监测：自动计算各试剂余量、保质期信息，当试剂余量不足或质保期不足时，进行提示，并可支持试剂信息上传。</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5、日质控异常预警：可设定零点核查、跨度核查、标液核查浓度及预警范围，当核查结果超过预警范围时，发出预警提示，并自动启动校准流程，重新进行核查。</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6、远程维护与诊断：远程控制指令和关键参数设置和上传，满足更加精准和细化的远程维护需求。</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氨氮分析仪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测量原理 水杨酸分光光度法或纳氏试剂分光光度法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测量范围 （0-10）mg/L；量程可以根据客户需求定制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24h低浓度漂移 ≤0.01mg/L</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24h高浓度漂移 ≤1%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示值误差 标液浓度为2.0mg/L时：±8%；标液浓度为5.0mg/L时：±5%；标液浓度为8.0mg/L时：±3%</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重复性 ≤0.5%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定量下限 ≤0.15mg/L</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电压稳定性 ±5%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pH影响 ±6%</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最小维护周期 ≥168h</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有效数据率 ≥90%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一致性 ≥90%</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MTBF ≥720h/次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实际水样比对试验 水样浓度&lt;2.0mg/L：绝对误差≤0.2mg/L；水样浓度≥2.0mg/L：相对误差≤10%</w:t>
            </w:r>
            <w:r/>
          </w:p>
          <w:p>
            <w:pPr>
              <w:jc w:val="left"/>
              <w:rPr>
                <w:color w:val="auto"/>
                <w:highlight w:val="none"/>
              </w:rPr>
            </w:pPr>
            <w:r>
              <w:rPr>
                <w:rFonts w:ascii="宋体;SimSun" w:hAnsi="宋体;SimSun" w:eastAsia="宋体;SimSun" w:cs="宋体;SimSun"/>
                <w:color w:val="auto"/>
                <w:sz w:val="20"/>
                <w:szCs w:val="20"/>
                <w:highlight w:val="none"/>
              </w:rPr>
              <w:t xml:space="preserve">取样和定量系统具有光电计量功能，采用光电计量传感器与自带驱动的柱塞泵组合定量取样方式，定量/计量不受液体浊度、色度、悬浮物、粘度等影响，同时可以对取样状态进行判断，保证定量准确、有效；取样/计量核心动力泵与试剂/样品非接触，无泵管老化、衰减、堵塞等问题，无泵管消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智能化功能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1、关键器件自检：具有关键部件状态自检功能，当启动器件自检流程时，设备可以对关键部件的运行状态进行诊断，给出预防和维护提示。同时也可支持远程反控进行器件自检，并上报自检结果。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故障诊断：当仪表发生故障报警时，及时中止流程，并提示和上报故障信息；当发生维护类告警时，仪表可以根据告警情况，启动自诊断流程进行报警恢复或诊断告警原因。例如试剂、纯水未抽取到报警、标定异常报警、信号调整异常报警、测量值异常等报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3、器件健康监测：具备关键器件和主要耗材的运行时长统计功能，指导运维人员合理进行备件准备和更换。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4、试剂余量及有效期监测：自动计算各试剂余量、保质期信息，当试剂余量不足或质保期不足时，进行提示，并可支持试剂信息上传。</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5、日质控异常预警：可设定零点核查、跨度核查、标液核查浓度及预警范围，当核查结果超过预警范围时，发出预警提示，并自动启动校准流程，重新进行核查。</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6、远程维护与诊断：远程控制指令和关键参数设置和上传，满足更加精准和细化的远程维护需求。</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总磷分析仪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测定原理：钼酸铵分光光度法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量程：0～10mg/L ；量程可以根据客户需求定制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零点漂移：±1%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量程漂移：±1%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直线性：±2%</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重复性误差：±1%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MTBF：≥720h/次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电压稳定性：±2%</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实际水样比对试验：±10%</w:t>
            </w:r>
            <w:r/>
          </w:p>
          <w:p>
            <w:pPr>
              <w:jc w:val="left"/>
              <w:rPr>
                <w:color w:val="auto"/>
                <w:highlight w:val="none"/>
              </w:rPr>
            </w:pPr>
            <w:r>
              <w:rPr>
                <w:rFonts w:ascii="宋体;SimSun" w:hAnsi="宋体;SimSun" w:eastAsia="宋体;SimSun" w:cs="宋体;SimSun"/>
                <w:color w:val="auto"/>
                <w:sz w:val="20"/>
                <w:szCs w:val="20"/>
                <w:highlight w:val="none"/>
              </w:rPr>
              <w:t xml:space="preserve">取样和定量系统具有光电计量功能，采用光电计量传感器与自带驱动的柱塞泵组合定量取样方式，定量/计量不受液体浊度、色度、悬浮物、粘度等影响，同时可以对取样状态进行判断，保证定量准确、有效；取样/计量核心动力泵与试剂/样品非接触，无泵管老化、衰减、堵塞等问题，无泵管消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智能化功能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1、关键器件自检：具有关键部件状态自检功能，当启动器件自检流程时，设备可以对关键部件的运行状态进行诊断，给出预防和维护提示。同时也可支持远程反控进行器件自检，并上报自检结果。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故障诊断：当仪表发生故障报警时，及时中止流程，并提示和上报故障信息；当发生维护类告警时，仪表可以根据告警情况，启动自诊断流程进行报警恢复或诊断告警原因。例如试剂、纯水未抽取到报警、标定异常报警、信号调整异常报警、测量值异常等报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3、器件健康监测：具备关键器件和主要耗材的运行时长统计功能，指导运维人员合理进行备件准备和更换。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4、试剂余量及有效期监测：自动计算各试剂余量、保质期信息，当试剂余量不足或质保期不足时，进行提示，并可支持试剂信息上传。</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5、日质控异常预警：可设定零点核查、跨度核查、标液核查浓度及预警范围，当核查结果超过预警范围时，发出预警提示，并自动启动校准流程，重新进行核查。</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6、远程维护与诊断：远程控制指令和关键参数设置和上传，满足更加精准和细化的远程维护需求。</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总氮分析仪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技术指标要求：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测定原理：碱性过硫酸钾氧化-紫外分光光度法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量程：0～50mg/L ；量程可以根据客户需求定制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零点漂移：±1%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量程漂移：±1%</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直线性：±2%</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重复性误差：±2%</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MTBF：≥720h/次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电压稳定性：±2%</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实际水样比对试验：±10%</w:t>
            </w:r>
            <w:r/>
          </w:p>
          <w:p>
            <w:pPr>
              <w:jc w:val="left"/>
              <w:rPr>
                <w:color w:val="auto"/>
                <w:highlight w:val="none"/>
              </w:rPr>
            </w:pPr>
            <w:r>
              <w:rPr>
                <w:rFonts w:ascii="宋体;SimSun" w:hAnsi="宋体;SimSun" w:eastAsia="宋体;SimSun" w:cs="宋体;SimSun"/>
                <w:color w:val="auto"/>
                <w:sz w:val="20"/>
                <w:szCs w:val="20"/>
                <w:highlight w:val="none"/>
              </w:rPr>
              <w:t xml:space="preserve">取样和定量系统具有光电计量功能，采用光电计量传感器与自带驱动的柱塞泵组合定量取样方式，定量/计量不受液体浊度、色度、悬浮物、粘度等影响，同时可以对取样状态进行判断，保证定量准确、有效；取样/计量核心动力泵与试剂/样品非接触，无泵管老化、衰减、堵塞等问题，无泵管消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智能化功能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1、关键器件自检：具有关键部件状态自检功能，当启动器件自检流程时，设备可以对关键部件的运行状态进行诊断，给出预防和维护提示。同时也可支持远程反控进行器件自检，并上报自检结果。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故障诊断：当仪表发生故障报警时，及时中止流程，并提示和上报故障信息；当发生维护类告警时，仪表可以根据告警情况，启动自诊断流程进行报警恢复或诊断告警原因。例如试剂、纯水未抽取到报警、标定异常报警、信号调整异常报警、测量值异常等报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3、器件健康监测：具备关键器件和主要耗材的运行时长统计功能，指导运维人员合理进行备件准备和更换。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4、试剂余量及有效期监测：自动计算各试剂余量、保质期信息，当试剂余量不足或质保期不足时，进行提示，并可支持试剂信息上传。</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5、日质控异常预警：可设定零点核查、跨度核查、标液核查浓度及预警范围，当核查结果超过预警范围时，发出预警提示，并自动启动校准流程，重新进行核查。</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6、远程维护与诊断：远程控制指令和关键参数设置和上传，满足更加精准和细化的远程维护需求。</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挥发酚分析仪</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测量原理：4-氨基安替比林分光光度法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测量范围：0-1mg/L，量程可以根据客户需求定制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重复性：≤3%</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零点漂移：±5%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量程漂移：±5%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MTBF：≥720h/次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电压稳定性：±5%</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实际水样比对：±10%</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采水单元</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采水单元的基本功能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采水单元结合现场水文、地质条件确定合适的采水方式，应符合《地表水和污水监测技术规范》(HJ/T 91-2002)和《关于加快推进国家地表水水质自动站建设工作的通知》（环办监测函[2017］1762号）的附件《国家地表水水质自动监测站站房及采水技术要求》，应保证运行的稳定性、水样的代表性、维护的方便性。</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①采水单元一般须包括采水构筑物、采水泵、采水管道、清洗配套装置、防堵塞装置和保温配套装置。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②采水装置的吸水口应设在水下0.5～1米范围内，并能够随水位变化适时调整位置，同时与水体底部保持足够的距离，防止底部淤泥对采样水质的影响。做到既能保证采集到具有代表性的水样，又能保证采样单元能连续正常运行。</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③采水系统具备双泵/双管路轮换功能，配置双泵/双管路采水，一备一用；可进行自动或手动切换，满足实时不间断监测的要求。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④采水管道具备防冻与保温功能，采水管道配置防冻保温装置，以减少环境温度等因素对水样造成影响。</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⑤采水管道材质具有足够的强度，可以承受内压，且使用年限长、性能可靠、具有极好的化学稳定性，不与水样中被测物产生物理和化学反应，避免污染水样。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⑥采水管道具有防意外堵塞和方便泥沙沉积后的清洗功能，其管路采用可拆洗式，并装有活接头，易于拆卸和清洗。</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⑦采水管道有除藻和反冲洗设备，可以通过清洗水进行自动反冲洗。通过自动阀门切换可以将清洗水和高压振荡空气送至采样头，以消除采样头单向输水运行形成的淤泥，以防藻类生长、聚集和泥沙沉积，在藻类高发时采水单元配置专门防藻除藻结构。</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采水单元的智能化功能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①取水点摄像机可通过视频电子围栏监控取水头所处位置，当取水设施偏离视频围栏范围或存在非运维人员非法闯入时发出告警。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②可对原水泵运行状态进行实时监控，可识别水泵卡死、开路、空转及管路堵塞等异常情况，同时具备上水超时告警功能，提醒对取水头或管路进行预防性维护。</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③)系统能记录并上传水泵状态、上水时间等关键参数和状态数据，可对取水过程进行溯源。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④可远程设置各项采水单元运行参数，支持远程控制调试。</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智能配水及预处理单元</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配水及预处理单元的基本功能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配水及预处理单元由水样分配单元、预处理装置及管道等组成。可实现对分析仪器配水的功能，并具有自动反冲洗和自动除藻功能。预处理单元为不同分析仪器配备预处理装置，常规五参数水质自动分析仪器使用原水直接分析，根据国家标准分析方法要求对高锰酸盐指数、氨氮、总磷、总氮等分析仪器提供相应的预处理方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①配水管路设计合理，流向清晰，便于维护；保证仪器分析测试的水样应能代表断面水质情况并满足仪器测试需求。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②配水单元具备自动反冲洗功能，防止菌类和藻类等微生物对样品污染或对系统工作造成不良影响，设计中不使用对环境产生污染的清洗方法。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③配水主管路采用串联方式，各仪器之间管路采用并联方式，每台仪器从各自的取样杯中取水，任何仪器的配水管路出现故障不能影响其他仪器的测试。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④具备可扩展功能，水站预留设备的接水口、排水口以及水样比对实验用的手动取水口。</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⑤能配合系统实现水样自动分配、自动预处理、故障自动报警、关键部件工作状态的显示和反控等功能。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⑥配水单元的所有操作均可通过控制单元实现，并接受平台端的远程控制；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⑦所选管材机械强度及化学稳定性好、使用寿命长、便于安装维护，不会对水样水质造成影响；管路内径、压力、流量、流速满足仪器分析需要，并留有余量。</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配水及预处理单元的智能化功能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(1)系统具备63μm 过滤、沉降、旁路过滤等多种预处理方式，根据水体浊度情况自动调节预处理方式，满足高浊、富藻等复杂水体监测要求：a)系统具备跟随沉淀池浊度变化沉降模式，上清液浊度降至目标阈值时 30min 结束沉降，保证预处理的一致性；b)自然沉降期间，系统能对沉降效能进行预测，如预测上清液浊度在 30min内不能降至目标阈值则选择继续沉降至60min，或启用上清液旁路过滤二级预处理方式；</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(2)沉淀池自清洁功能，减少人工维护频次；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(3)系统能记录原水浊度、预处理模式、沉降时间、沉降后浊度等信息，并采集沉淀池、可对预处理过程进行溯源；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(4)可远程设置预处理单元运行参数，支持远程控制调试。</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质控单元</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基本功能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质控单元能够对高锰酸盐指数、氨氮、总磷、总氮水质分析仪器进行零点核查、跨度核查、多点线性测试、动态质控样测试、在线加标回收等质控工作，性能达到国家水站建设技术要求。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智能化功能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1、质控主要功能：开展原水样测试、自动多点线性核查、自动加标回收测试、盲样考核、零点、跨度核查等质控工作，并可远程控制触发；</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2、器件使用时长监测：具备关键器件和主要耗材的运行时长统计功能，指导运维人员合理进行备件准备和更换。</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a.支持记录设备工作时长（隔膜泵、气泵），可设置关键器件运行时长和更换后运行时长置零；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b.支持记录柱塞泵运行次数、夹管阀、电磁阀组、电磁阀的运行次数；可设置柱塞泵、夹管阀、电磁阀组及三通电磁阀运行次数值和运行次数置零；</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c.支持记录水样管、储液环更换时间，质控可自动记录使用时长（天）；</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b.当器件或耗材运行次数或时长即将到达设定阈值时，在软件界面进行警示。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3、试剂余量及有效期监测：记录母液的余量监控功能；可记录试剂的更换时间、保质期信息功能；当试剂余量不足或临期可及时推送更换提醒。</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留样单元</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（1）具备水样冷藏功能，温度在4±2℃。</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（2）留样瓶数≥12个。</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（3）留样瓶由惰性材料制成，易清洗，容量在500mL以上。</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（4）留样瓶具有密封功能。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（5）具有留样后自动排空的功能。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（6）配置门禁系统。</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（7）具有留样失败报警功能。</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控制单元</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控制单元对采水单元、配水及预处理单元、分析单元、辅助单元等进行控制，并实现数据采集与传输功能，保证系统连续、可靠和安全运行。</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主要基本功能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（1）具有仪器及系统运行周期（连续或间歇）设置功能，至少具备常规、应急、质控、维护等多种运行模式；</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（2）能够实现对高锰酸盐指数、氨氮、总磷和总氮等水质自动分析仪器进行自动标样核查、自动加标回收率核查、自动零点核查、自动跨度核查等质控功能；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（3）具有异常信息记录和上传功能，如采水故障、部件故障、超量程报警、超标报警、缺试剂报警等信息；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（4）具备仪器关键参数实时上传功能，关键参数至少包含量程上限、校准系数、工作曲线、测试信号值等；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（5）接受远程控制指令，能够通过远程平台进行启动采水、测试、模式切换、仪表校准、校时、质控等操作；</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（6）具备断电再度通电后自动排空、自动清洗管路、自动复位到待机状态的功能；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（7）控制单元须具有三级管理权限；</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（8）系统具有良好的扩展性和兼容性，根据实际应用需要，可增加新的监测参数，并方便仪器安装与接入；</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（9）具备单点控制功能，能够对单一控制点（阀、泵等）进行调试；</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（10）具备对自动分析仪器的启停、校时、校准、质控测试等控制功能；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（11）能够设置数据超标阈值，具备超标留样控制功能；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（12）具备参数设置功能，能够对小数位、单位、仪器测定上下限、报警（超标）上下限等参数进行设置。</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智能化功能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控制单元，作为智能化水站本地数据采集、分析处理、传输的核心部件，通过升级的智能化水站软件，扩展接入仪表、动环、传感器等设备数据，并对设备状态、系统运行状态进行实时监控，实现自动化运行、智能质控、智能巡检、故障分析及预警、部件健康信息、运行日志记录、平台反控执行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基于智能巡检，可减少人员运维频次及时间；增加动环监测单元、视频监控系统，基于硬件监测及视频监控识别，梳理分模块智能巡检业务逻辑，完成水站运行自动巡检，记录分模块巡检结果，上传平台。并可自动生成智能巡检报告。</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数据采集与传输单元</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1数据采集与存储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（1）控制系统与仪表间的数据采集通讯符合《地表水自动监测仪器/系统通信协议技术要求（试行）》的规定；</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（2）能够实时采集、存储自动分析仪器的周期数据、质控数据（空白测试数据、标样核查数据、加标回收率数据、故障信息、运行日志等内容及相对应的数据标识，可分类查询；存储周期不少于1年；</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（3）能够采集系统各单元工作状态量，存储系统运行日志和报警信息，存储周期不少于1年；</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（4）具有导出、自动备份功能；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（5）能够实时采集视频信息并传输至指定平台；</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（6）具有断电保护功能，能够在断电时保存系统参数和历史数据，在来电时自动恢复系统。</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2数据传输与通讯</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（1）综合考虑采用有线、无线通讯方式满足数据传输要求；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（2）具备对通信链路的自动诊断功能，具备超时补发功能；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（3）系统通信接口和线路确保仪器、系统运行的监测数据和状态信息等稳定传输；</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（4）水质监测的数据上传至业主指定平台。</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辅助单元</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辅助单元包含UPS、稳压电源、试剂恒温单元、废液收集单元、防雷单元、空调、维护专用成套工具等部分，具体要求如下：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（1）配备UPS电源，总功率≥3KW；</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（2）配备稳压电源，总功率≥6KW；</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（3）保证分析仪器运行时所用的化学试剂处于 4±2℃低温保存；</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（4）配备废液收集单元，满足两周以上废液量的收集；</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（5）为保证系统稳定、可靠运行，具有电源、信号等设施的防雷措施；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（6）配冷暖空调，具有断电恢复自动启动功能，具备除湿功能；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（7）具备自动灭火装置，灭火材料须对人体和设备无害。</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智能化功能</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1、试剂冷藏温度监控：试剂箱具有冷藏温度监控功能，超温自动告警;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2、废液信息监控：实时记录监测因子的废液桶废液信息，并预警；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3、智能电表：记录并监控用电量，记录A、B、C相电压、电流，总有功功率电源供电信息等；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4、UPS电源：判断是否断电，以及备用电源的电量情况；记录供电类型、输入电压值、输出电压值；</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5、空调控制器：实现空调自动调整和节能匹配；可根据室内温度和月份季节情况，设定开关条件和温度范围，自动调节；记录空调状态、空调模式、空调运行时长；通过平台可远程空调模式设定、温度设定；</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6、水浸传感器：漏水监测；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7、烟雾传感器：烟雾监测，防火预警。</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视频监控单元</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为了实现远程监视水质自动监测站进出情况，检查站内设备（采样分配单元，自动监测分析仪器、供电系统、数据采集及传输系统等）的整体情况，以及观察采水系统（取样水泵、浮球等）状况，观察水质自动监测站周边的水位、流量等水情情况，同时观察水质自动监测站站房、供电线路等周边的环境。水质自动监测站需要配备一套全面可靠的视频监控系统。监控点位布置如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一、视频监控点位一</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监控位置：站房仪器室</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二、视频监控点位二</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监控位置：站房外周围环境</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三、视频监控点位三</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监控位置：站房外取水口</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数智化一体化监测站房</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1、遵守国家现行政策、法令及有关规范规程。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2、积极合理采用新技术、新材料、新设备，以达到合理、高效、经济、卫生、安全等要求。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3、注重环境保护，充分满足环保要求和噪声控制，采用低噪声设备。</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4、树立消防预防为主的意识，加强消防安全设计。</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5、根据站房功能要求，在充分满足使用功能的前提下，合理控制建筑装修标准，从而降低工程造价。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6、站房作为实验室进行规划设计，防火、防盗、防潮、防雷、防虫鼠害、防震、防酸碱、防腐蚀、通风等。防雷由专门部门完成，要求满足站房防雷、电源防雷、信号防雷。防震要求满足万分之一天平的使用要求。</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7、站房结构采用彩钢板或砖混结构，站房面积≥12.5平方米。站房满足操作人员方便地操作和维修仪器。</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8、站房外观美观大方，站房建筑风格与周边环境协调。</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附属设施建设、安装调试及验收</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12.5平方小型水站接电、围栏、地基等基础设施建设、避雷系统建设、所有设备的安装调试、试运行、环保验收。</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运维服务</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2台地表水监测站运维</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驳盐河入园断面和小丁港出园断面两个地表水水质监测站，监测因子：pH、溶解氧、电导率、水温、浊度、氨氮、总磷、总氮、高锰酸盐指数、挥发酚水质指标。一年运维所需的试剂、备品备件、配件耗材；日常站点及辅助系统的定期检修、保养；故障排除；自动监测数据分析、环境质量总结分析、超标预警及分析服务，形成环境质量月报、年报等日常运维服务；提供CMA实验室比对质控报告，每个季度一次。2</w:t>
            </w:r>
            <w:r>
              <w:rPr>
                <w:rFonts w:ascii="宋体;SimSun" w:hAnsi="宋体;SimSun" w:eastAsia="宋体;SimSun" w:cs="宋体;SimSun"/>
                <w:color w:val="auto"/>
                <w:szCs w:val="24"/>
                <w:highlight w:val="none"/>
              </w:rPr>
              <w:t xml:space="preserve">.包含电费、水费以及</w:t>
            </w:r>
            <w:r>
              <w:rPr>
                <w:rFonts w:ascii="宋体;SimSun" w:hAnsi="宋体;SimSun" w:cs="宋体;SimSun"/>
                <w:color w:val="auto"/>
                <w:highlight w:val="none"/>
              </w:rPr>
              <w:t xml:space="preserve">网络通讯费</w:t>
            </w:r>
            <w:r>
              <w:rPr>
                <w:rFonts w:ascii="宋体;SimSun" w:hAnsi="宋体;SimSun" w:eastAsia="宋体;SimSun" w:cs="宋体;SimSun"/>
                <w:color w:val="auto"/>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gridSpan w:val="7"/>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 xml:space="preserve">六、大气溯源模型</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服务名称</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参数</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质保</w:t>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驾驶舱</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“一张图”系统</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对接智慧园区平台的综合可视化门户，为决策者提供一个宏观、直观、实时的大气溯源全景视图。展示各种相关图层效果。</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4年</w:t>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大气预警-溯源排查-管控处置模型软件</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多模式智能预警</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b/>
                <w:bCs/>
                <w:color w:val="auto"/>
                <w:sz w:val="20"/>
                <w:szCs w:val="20"/>
                <w:highlight w:val="none"/>
              </w:rPr>
              <w:t xml:space="preserve">对接智慧园区平台预警规则：</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（1）瞬时超标预警：监测值超过预设阈值（如地表水Ⅲ类标准）立即触发。</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（2）累积超标预警：在特定时间段内（如4小时），超标累计时长或频次达到设定值后触发。</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（3）突变预警：基于统计学方法，识别数据在短时间内的剧烈跃升，即便未超标也进行提示，有效捕捉偷排行为。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（4）趋势预警：利用时间序列预测模型，根据近期数据预测未来一段时间水质可能超标的趋势，实现事前预警。</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（5）分级预警与推送：预警分为不同等级，对应不同的响应时限和处置流程。预警信息通过平台消息、短信、工作群等多种渠道，自动推送给相应的值班人员、排查小组和管理负责人。</w:t>
            </w:r>
            <w:r/>
          </w:p>
          <w:p>
            <w:pPr>
              <w:pStyle w:val="1127"/>
              <w:rPr>
                <w:rFonts w:ascii="宋体;SimSun" w:hAnsi="宋体;SimSun" w:cs="宋体;SimSun"/>
                <w:color w:val="auto"/>
                <w:sz w:val="20"/>
                <w:highlight w:val="none"/>
              </w:rPr>
            </w:pPr>
            <w:r>
              <w:rPr>
                <w:rFonts w:ascii="宋体;SimSun" w:hAnsi="宋体;SimSun" w:cs="宋体;SimSun"/>
                <w:color w:val="auto"/>
                <w:sz w:val="20"/>
                <w:highlight w:val="none"/>
              </w:rPr>
              <w:t xml:space="preserve">（6）大气预警因子：包括上下风向标准站的VOCs组分（PAMs57种）以及走航监测因子（涉及115种VOCs组分）。阈值配置要求：有厂界标准的优先执行厂界标准；其他参照国内外有毒有害气体阈值或者根据结构毒性相关性类比设置。</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精准溯源分析模块</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（1）对接智慧园区数据中台相关数据，启动模型分析，输出结果，在GIS地图进行可视化展示。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（2）LPDM扩散溯源分析模型，通过计算气块群的运动轨迹，进而实现对大气物质的输送和扩散过程的模拟。同时支持能够</w:t>
            </w:r>
            <w:r>
              <w:rPr>
                <w:rFonts w:ascii="宋体;SimSun" w:hAnsi="宋体;SimSun" w:eastAsia="宋体;SimSun" w:cs="宋体;SimSun"/>
                <w:color w:val="auto"/>
                <w:sz w:val="20"/>
                <w:szCs w:val="20"/>
                <w:highlight w:val="none"/>
              </w:rPr>
              <w:t xml:space="preserve">历史溯源记录查询。基于污染预警等级信息，完成自动溯源分析。通过加载在线卫星地图和新材料科技园区重点关注企业及其排放烟气空间分布，叠加LPDM溯源模型模拟的污染气团轨迹，直观展现污染气团来向、所经过的污染企业和烟囱，并计算出污染气团所过企业和烟囱对站点监控数据的污染贡献。当某种污染因子浓度达到高预警等级，平台会启动该页面的自动溯源计算，在预警实时记录中，展示何种污染物，达到了什么级别预警；中间的地图会叠加气团轨迹，直观展示污染气团来源；潜在来源展示污染企业和烟囱的污染贡献度以及在底部显示污染企业和烟囱的数量。</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（3）对接智慧园区平台，溯源报告自动生成：溯源分析完成后，系统自动生成一份《大气溯源分析报告》，内容包括：事件描述、预警数据、溯源分析过程、主要嫌疑源清单、建议排查路线与采样重点等。</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闭环管控处置</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b/>
                <w:bCs/>
                <w:color w:val="auto"/>
                <w:sz w:val="20"/>
                <w:szCs w:val="20"/>
                <w:highlight w:val="none"/>
              </w:rPr>
              <w:t xml:space="preserve">对接智慧园区平台闭环处置流程：</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（1）任务线上流转：预警信息自动生成处置工单，并根据预设规则（如事发地点、污染类型）自动派发给相应的现场排查组。排查人员通过移动APP接收任务，查看溯源报告，赶赴现场。</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（2）移动化现场作业：排查人员使用APP进行现场记录：填写勘查情况、拍摄视频照片、使用便携式全光谱终端进行快速检测、扫描样品二维码进行送检关联。所有现场数据实时回传平台，形成电子证据链。</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3）多部门协同与整改跟踪：若确认违法排污，平台可一键生成《问题交办单》，通过线上流程发送至环保执法、园区管委会等相关部门。责任单位的整改方案、整改进度均在线上提交与跟踪。整改完成后，需上传证明材料，并由管理人员线上复核、闭环销号。</w:t>
            </w:r>
            <w:r>
              <w:rPr>
                <w:rFonts w:ascii="宋体;SimSun" w:hAnsi="宋体;SimSun" w:eastAsia="宋体;SimSun" w:cs="宋体;SimSun"/>
                <w:color w:val="auto"/>
                <w:sz w:val="20"/>
                <w:szCs w:val="20"/>
                <w:highlight w:val="none"/>
              </w:rPr>
              <w:br/>
            </w:r>
            <w:r>
              <w:rPr>
                <w:rFonts w:ascii="宋体;SimSun" w:hAnsi="宋体;SimSun" w:eastAsia="宋体;SimSun" w:cs="宋体;SimSun"/>
                <w:color w:val="auto"/>
                <w:sz w:val="20"/>
                <w:szCs w:val="20"/>
                <w:highlight w:val="none"/>
              </w:rPr>
              <w:t xml:space="preserve">（4）全过程留痕：从预警产生、任务派发、现场排查、执法介入到整改复核，整个流程的所有操作、人员、时间节点均被完整记录，实现责任可追溯、过程可复盘。</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gridSpan w:val="7"/>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 xml:space="preserve">七、地下水监测预警预测模型</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服务名称</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参数</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质保</w:t>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水文地质模块</w:t>
            </w:r>
            <w:r/>
          </w:p>
        </w:tc>
        <w:tc>
          <w:tcPr>
            <w:tcBorders>
              <w:top w:val="single" w:color="000000" w:sz="4" w:space="0"/>
              <w:left w:val="single" w:color="000000" w:sz="4" w:space="0"/>
              <w:bottom w:val="single" w:color="000000" w:sz="4" w:space="0"/>
              <w:right w:val="single" w:color="000000" w:sz="4" w:space="0"/>
            </w:tcBorders>
            <w:tcW w:w="2993"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三维钻孔展示</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水文地质钻孔信息、分层数据录入与批量导入导出、在线编辑、存储与管理</w:t>
            </w:r>
            <w:r/>
          </w:p>
        </w:tc>
        <w:tc>
          <w:tcPr>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4年</w:t>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基于三维GIS地图进行三维地质钻孔分层可视化，包括钻孔分布、属性查询与钻孔显示样式设置</w:t>
            </w:r>
            <w:r/>
          </w:p>
        </w:tc>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地质模型构建</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对水文地质钻孔数据进行标准化处理，基于地层分层插值建模方法创建园区三维地层结构模型</w:t>
            </w:r>
            <w:r/>
          </w:p>
        </w:tc>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地质模型展示</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三维地层模型上传平台解析、贴纹理、切片、分块进行轻量化处理，以便后续在三维地图上进行展示</w:t>
            </w:r>
            <w:r/>
          </w:p>
        </w:tc>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三维地层模型可视化与后处理分析展示，包括属性查询、竖向放大、模型炸开、剖切、开挖等</w:t>
            </w:r>
            <w:r/>
          </w:p>
        </w:tc>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污染分布模块</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污染羽模型构建</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地下水真三维污染羽模型创建，基于监测井分布数据和监测数据，创建多因子真三维污染羽分布模型</w:t>
            </w:r>
            <w:r/>
          </w:p>
        </w:tc>
        <w:tc>
          <w:tcPr>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污染羽模型展示</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真三维污染羽模型上传平台进行轻量化处理，以便后续在三维GIS地图上进行展示</w:t>
            </w:r>
            <w:r/>
          </w:p>
        </w:tc>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真三维污染羽模型展示与分析，包括属性筛选与体积计算，以及竖向放大、模型炸开、剖切、开挖等</w:t>
            </w:r>
            <w:r/>
          </w:p>
        </w:tc>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模拟预测模块</w:t>
            </w:r>
            <w:r/>
          </w:p>
        </w:tc>
        <w:tc>
          <w:tcPr>
            <w:tcBorders>
              <w:top w:val="single" w:color="000000" w:sz="4" w:space="0"/>
              <w:left w:val="single" w:color="000000" w:sz="4" w:space="0"/>
              <w:bottom w:val="single" w:color="000000" w:sz="4" w:space="0"/>
              <w:right w:val="single" w:color="000000" w:sz="4" w:space="0"/>
            </w:tcBorders>
            <w:tcW w:w="2993"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地下水数值模拟</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地下水水流模型构建：综合分析研究区场地水文地质结构特征，确定污染场地的含水层空间结构、边界条件、源汇项以及水文地质参数，构建地下水水流模型</w:t>
            </w:r>
            <w:r/>
          </w:p>
        </w:tc>
        <w:tc>
          <w:tcPr>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地下水溶质运移模型构建：针对某些特征污染物进行地下水溶质运移模型的构建</w:t>
            </w:r>
            <w:r/>
          </w:p>
        </w:tc>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地下水初始模拟模型展示</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支持将地下水流数值模型上传至平台进行展示与后处理分析，包括三维显示和剖面展示等</w:t>
            </w:r>
            <w:r/>
          </w:p>
        </w:tc>
        <w:tc>
          <w:tcPr>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支持将溶质运移数值模型支持上传至平台进行三维可视化与后处理分析，可动态展示污染物浓度随时间的变化结果</w:t>
            </w:r>
            <w:r/>
          </w:p>
        </w:tc>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在线模拟分析</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支持在线溶质运移模拟现状、点源抽注和设置防渗墙的情景，在线计算园区空间尺度和时间尺度的污染物迁移</w:t>
            </w:r>
            <w:r/>
          </w:p>
        </w:tc>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溯源分析模块</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在线溯源分析</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采用反向粒子示踪技术对超标点位的污染物进行识别，并判断由污染源区迁移至该点位的大致迁移路径。基于此功能，一旦监测出某站点发出预警提示时，大致判定出超标的污染物指标可以追溯到的污染物迁移路径和扩散范围，实现地下水污染辅助分析决策结果的可视化</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项</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gridSpan w:val="7"/>
            <w:tcBorders>
              <w:top w:val="single" w:color="000000" w:sz="4" w:space="0"/>
              <w:left w:val="single" w:color="000000" w:sz="4" w:space="0"/>
              <w:bottom w:val="single" w:color="000000" w:sz="4" w:space="0"/>
              <w:right w:val="single" w:color="000000" w:sz="4" w:space="0"/>
            </w:tcBorders>
            <w:tcW w:w="13958" w:type="dxa"/>
            <w:vAlign w:val="center"/>
            <w:textDirection w:val="lrTb"/>
            <w:noWrap w:val="false"/>
          </w:tcPr>
          <w:p>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 xml:space="preserve">八、地下水建井</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单元</w:t>
            </w:r>
            <w:r/>
          </w:p>
        </w:tc>
        <w:tc>
          <w:tcPr>
            <w:shd w:val="clear" w:color="auto" w:fill="ffffff"/>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仪器、装置名称</w:t>
            </w:r>
            <w:r/>
          </w:p>
        </w:tc>
        <w:tc>
          <w:tcPr>
            <w:shd w:val="clear" w:color="auto" w:fill="ffffff"/>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参数</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上游对照点污染</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DZ1</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扩散点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KS1</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扩散点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KS2</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扩散点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KS3</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扩散点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KS4</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扩散点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KS5</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扩散点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KS6</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内部监测点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NB1</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内部监测点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NB2</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内部监测点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NB3</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内部监测点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NB4</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内部监测点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NB5</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内部监测点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NB6</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color w:val="auto"/>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内部监测点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NB7</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内部监测点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NB9</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内部监测点</w:t>
            </w:r>
            <w:r/>
          </w:p>
        </w:tc>
        <w:tc>
          <w:tcPr>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NB10</w:t>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深度9m、管径110mm，材质PVC</w:t>
            </w:r>
            <w:r/>
          </w:p>
        </w:tc>
        <w:tc>
          <w:tcPr>
            <w:shd w:val="clear" w:color="auto"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口</w:t>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r>
            <w:r/>
          </w:p>
        </w:tc>
      </w:tr>
    </w:tbl>
    <w:p>
      <w:pPr>
        <w:rPr>
          <w:color w:val="auto"/>
          <w:highlight w:val="none"/>
        </w:rPr>
        <w:sectPr>
          <w:footerReference w:type="default" r:id="rId16"/>
          <w:footnotePr/>
          <w:endnotePr/>
          <w:type w:val="nextPage"/>
          <w:pgSz w:w="16838" w:h="11906" w:orient="landscape"/>
          <w:pgMar w:top="1800" w:right="1440" w:bottom="1800" w:left="1440" w:header="0" w:footer="992" w:gutter="0"/>
          <w:cols w:num="1" w:sep="0" w:space="720" w:equalWidth="1"/>
          <w:docGrid w:linePitch="360"/>
        </w:sectPr>
      </w:pPr>
      <w:r>
        <w:rPr>
          <w:color w:val="auto"/>
          <w:highlight w:val="none"/>
        </w:rPr>
      </w:r>
      <w:r/>
    </w:p>
    <w:p>
      <w:pPr>
        <w:pStyle w:val="1128"/>
        <w:numPr>
          <w:ilvl w:val="0"/>
          <w:numId w:val="0"/>
        </w:numPr>
        <w:spacing w:before="156" w:after="156"/>
        <w:rPr>
          <w:rFonts w:ascii="宋体;SimSun" w:hAnsi="宋体;SimSun" w:cs="宋体;SimSun"/>
          <w:color w:val="auto"/>
          <w:highlight w:val="none"/>
        </w:rPr>
        <w:outlineLvl w:val="2"/>
      </w:pPr>
      <w:r>
        <w:rPr>
          <w:rFonts w:ascii="宋体;SimSun" w:hAnsi="宋体;SimSun" w:cs="宋体;SimSun"/>
          <w:color w:val="auto"/>
          <w:highlight w:val="none"/>
        </w:rPr>
        <w:t xml:space="preserve">水站运维技术要求及考核办法</w:t>
      </w:r>
      <w:r/>
    </w:p>
    <w:p>
      <w:pPr>
        <w:pStyle w:val="1130"/>
        <w:numPr>
          <w:ilvl w:val="0"/>
          <w:numId w:val="7"/>
        </w:numPr>
        <w:spacing w:before="156" w:after="156"/>
        <w:tabs>
          <w:tab w:val="clear" w:pos="0" w:leader="none"/>
        </w:tabs>
        <w:rPr>
          <w:rFonts w:ascii="宋体;SimSun" w:hAnsi="宋体;SimSun" w:cs="宋体;SimSun"/>
          <w:color w:val="auto"/>
          <w:highlight w:val="none"/>
        </w:rPr>
        <w:outlineLvl w:val="3"/>
      </w:pPr>
      <w:r>
        <w:rPr>
          <w:rFonts w:ascii="宋体;SimSun" w:hAnsi="宋体;SimSun" w:cs="宋体;SimSun"/>
          <w:color w:val="auto"/>
          <w:highlight w:val="none"/>
        </w:rPr>
        <w:t xml:space="preserve">每日系统检查</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1）每天上午、下午远程查看水站数据（分析水质监测和系统状态数据），查看系统软件、站点联网状况等，对站点运行情况进行远程诊断和完成日常运维的调度，并需对系统及站点故障做记录并注明故障原因和解决方法，填写监控记录。</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（2）如发现数据异常时确定为仪器故障或不能确定原因，应在发现异常后2小时内到达现场，8小时内排除故障（异常）。</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3）值班人每日值班结束后，应积极主动向甲方简单汇报当日的值班情况、站点故障的解决计划及其他运维工作的进展情况（如站点数据异常原因待查后再确认的进展情况，站点的现场施工情况等）。值班人员因故不能按时值班时，应给甲方值班人员打电话说明情况并派其他人员代替值班；</w:t>
      </w:r>
      <w:r/>
    </w:p>
    <w:p>
      <w:pPr>
        <w:pStyle w:val="1130"/>
        <w:numPr>
          <w:ilvl w:val="0"/>
          <w:numId w:val="7"/>
        </w:numPr>
        <w:spacing w:before="156" w:after="156"/>
        <w:rPr>
          <w:rFonts w:ascii="宋体;SimSun" w:hAnsi="宋体;SimSun" w:cs="宋体;SimSun"/>
          <w:color w:val="auto"/>
          <w:highlight w:val="none"/>
        </w:rPr>
        <w:outlineLvl w:val="3"/>
      </w:pPr>
      <w:r>
        <w:rPr>
          <w:rFonts w:ascii="宋体;SimSun" w:hAnsi="宋体;SimSun" w:cs="宋体;SimSun"/>
          <w:color w:val="auto"/>
          <w:highlight w:val="none"/>
        </w:rPr>
        <w:t xml:space="preserve">每周巡检</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（1）应至少每周对水站进行全面检查一次，并认真填写巡检记录。</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（2）巡检工作包括：</w:t>
      </w:r>
      <w:r/>
    </w:p>
    <w:p>
      <w:pPr>
        <w:pStyle w:val="1129"/>
        <w:ind w:firstLine="480"/>
        <w:rPr>
          <w:color w:val="auto"/>
          <w:highlight w:val="none"/>
        </w:rPr>
      </w:pPr>
      <w:r>
        <w:rPr>
          <w:rFonts w:ascii="宋体;SimSun" w:hAnsi="宋体;SimSun" w:cs="宋体;SimSun"/>
          <w:color w:val="auto"/>
          <w:highlight w:val="none"/>
        </w:rPr>
        <w:t xml:space="preserve">a 检查各台自动分析仪及辅助设备的运行状态和主要技术参数，判断运行是否正常。</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b 检查自来水供应、泵取水、纯水系统情况，检查内部管路是否通畅，仪器自动清洗装置是否运行正常，检查各自动分析仪的进样水管和排水管是否清洁，必要时进行清洗。定期清洗水泵和过滤网。</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c 检查站房内电路系统、通讯系统是否正常。</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d 对于用电极法测量的仪器，检查标准溶液和电极填充液，进行电极探头的清洗。</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e 检查各仪器标准溶液和试剂是否在有效使用期内，按相关要求定期更换标准溶液和分析试剂。</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f 观察数据采集传输仪运行情况，并检查连接处有无损坏，对数据进行抽样检查，对比自动分析仪、数据采集传输仪及上位机接收到的数据是否一致。</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g 对自动分析仪进行保养，对水泵和取水管路、配水和进水系统、仪器分析系统进行维护。对数据存储和控制系统工作状态进行检查。</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h 检查监测仪器接地情况，检查监测用房防雷措施。</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i 保证监测用房内的温度、湿度满足仪器正常运行的需求。保持各管路通畅，出水正常，无漏液。</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j 对电源控制器、空调、空压机等辅助设备要进行经常性检查。</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k 清理废液，做好站房安全检查与卫生工作</w:t>
      </w:r>
      <w:r/>
    </w:p>
    <w:p>
      <w:pPr>
        <w:pStyle w:val="1129"/>
        <w:ind w:firstLine="480"/>
        <w:rPr>
          <w:color w:val="auto"/>
          <w:highlight w:val="none"/>
        </w:rPr>
      </w:pPr>
      <w:r>
        <w:rPr>
          <w:color w:val="auto"/>
          <w:highlight w:val="none"/>
        </w:rPr>
        <w:t xml:space="preserve">l 质控工作及相关记录、巡检记录填写。</w:t>
      </w:r>
      <w:r/>
    </w:p>
    <w:p>
      <w:pPr>
        <w:pStyle w:val="1130"/>
        <w:numPr>
          <w:ilvl w:val="0"/>
          <w:numId w:val="7"/>
        </w:numPr>
        <w:spacing w:before="156" w:after="156"/>
        <w:rPr>
          <w:rFonts w:ascii="宋体;SimSun" w:hAnsi="宋体;SimSun" w:cs="宋体;SimSun"/>
          <w:color w:val="auto"/>
          <w:highlight w:val="none"/>
        </w:rPr>
        <w:outlineLvl w:val="3"/>
      </w:pPr>
      <w:r>
        <w:rPr>
          <w:rFonts w:ascii="宋体;SimSun" w:hAnsi="宋体;SimSun" w:cs="宋体;SimSun"/>
          <w:color w:val="auto"/>
          <w:highlight w:val="none"/>
        </w:rPr>
        <w:t xml:space="preserve">运行维护记录、报表及存档</w:t>
      </w:r>
      <w:r/>
    </w:p>
    <w:p>
      <w:pPr>
        <w:pStyle w:val="1129"/>
        <w:ind w:firstLine="480"/>
        <w:rPr>
          <w:color w:val="auto"/>
          <w:highlight w:val="none"/>
        </w:rPr>
      </w:pPr>
      <w:r>
        <w:rPr>
          <w:color w:val="auto"/>
          <w:highlight w:val="none"/>
        </w:rPr>
        <w:t xml:space="preserve">应建立水站维护档案，将水站的运行过程和运行事件进行详细记录，并进行归档管理。日常运营中使用运行管理相关记录表至少应包括以下表格：</w:t>
      </w:r>
      <w:r>
        <w:rPr>
          <w:color w:val="auto"/>
          <w:highlight w:val="none"/>
        </w:rPr>
        <w:br/>
      </w:r>
      <w:r>
        <w:rPr>
          <w:color w:val="auto"/>
          <w:highlight w:val="none"/>
        </w:rPr>
        <w:t xml:space="preserve">（1）水站运行维护记录表（周巡检、故障排除时）；</w:t>
      </w:r>
      <w:r>
        <w:rPr>
          <w:color w:val="auto"/>
          <w:highlight w:val="none"/>
        </w:rPr>
        <w:br/>
      </w:r>
      <w:r>
        <w:rPr>
          <w:color w:val="auto"/>
          <w:highlight w:val="none"/>
        </w:rPr>
        <w:t xml:space="preserve">（2）试剂更换及仪器校正记录；</w:t>
      </w:r>
      <w:r>
        <w:rPr>
          <w:color w:val="auto"/>
          <w:highlight w:val="none"/>
        </w:rPr>
        <w:br/>
      </w:r>
      <w:r>
        <w:rPr>
          <w:color w:val="auto"/>
          <w:highlight w:val="none"/>
        </w:rPr>
        <w:t xml:space="preserve">（3）备品备件更换记录；</w:t>
      </w:r>
      <w:r>
        <w:rPr>
          <w:color w:val="auto"/>
          <w:highlight w:val="none"/>
        </w:rPr>
        <w:br/>
      </w:r>
      <w:r>
        <w:rPr>
          <w:color w:val="auto"/>
          <w:highlight w:val="none"/>
        </w:rPr>
        <w:t xml:space="preserve">（4）质控记录（含比对实验记录、标液核查记录、校正记录、标样考核记录、加标考核记录等）。</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甲方保留因管理需要增加工作报表种类的权利。若有增加，需配合完成，并按规定时间报送甲方处存档。</w:t>
      </w:r>
      <w:r/>
    </w:p>
    <w:p>
      <w:pPr>
        <w:pStyle w:val="1130"/>
        <w:numPr>
          <w:ilvl w:val="0"/>
          <w:numId w:val="7"/>
        </w:numPr>
        <w:spacing w:before="156" w:after="156"/>
        <w:rPr>
          <w:rFonts w:ascii="宋体;SimSun" w:hAnsi="宋体;SimSun" w:cs="宋体;SimSun"/>
          <w:color w:val="auto"/>
          <w:highlight w:val="none"/>
        </w:rPr>
        <w:outlineLvl w:val="3"/>
      </w:pPr>
      <w:r>
        <w:rPr>
          <w:rFonts w:ascii="宋体;SimSun" w:hAnsi="宋体;SimSun" w:cs="宋体;SimSun"/>
          <w:color w:val="auto"/>
          <w:highlight w:val="none"/>
        </w:rPr>
        <w:t xml:space="preserve">质控要求</w:t>
      </w:r>
      <w:r/>
    </w:p>
    <w:p>
      <w:pPr>
        <w:pStyle w:val="1129"/>
        <w:ind w:firstLine="480"/>
        <w:rPr>
          <w:color w:val="auto"/>
          <w:highlight w:val="none"/>
        </w:rPr>
      </w:pPr>
      <w:r>
        <w:rPr>
          <w:color w:val="auto"/>
          <w:highlight w:val="none"/>
        </w:rPr>
        <w:t xml:space="preserve">（1）应在具备资质的实验室完成水站质量控制相关工作；所使用的仪器、化学药品、试剂、纯水、标准物质（标液）等质量级别和有效期均需符合相关要求。</w:t>
      </w:r>
      <w:r/>
    </w:p>
    <w:p>
      <w:pPr>
        <w:pStyle w:val="1129"/>
        <w:ind w:firstLine="480"/>
        <w:rPr>
          <w:color w:val="auto"/>
          <w:highlight w:val="none"/>
        </w:rPr>
      </w:pPr>
      <w:r>
        <w:rPr>
          <w:rFonts w:ascii="宋体;SimSun" w:hAnsi="宋体;SimSun" w:cs="宋体;SimSun"/>
          <w:color w:val="auto"/>
          <w:highlight w:val="none"/>
        </w:rPr>
        <w:t xml:space="preserve">（2）应对所承担的运维工作各环节进行质量控制，具体要求见附表</w:t>
      </w:r>
      <w:r>
        <w:rPr>
          <w:rFonts w:ascii="宋体;SimSun" w:hAnsi="宋体;SimSun" w:cs="宋体;SimSun"/>
          <w:color w:val="auto"/>
          <w:highlight w:val="none"/>
          <w:lang w:val="en-US"/>
        </w:rPr>
        <w:t xml:space="preserve">。</w:t>
      </w:r>
      <w:r/>
    </w:p>
    <w:p>
      <w:pPr>
        <w:pStyle w:val="1129"/>
        <w:ind w:firstLine="480"/>
        <w:rPr>
          <w:color w:val="auto"/>
          <w:highlight w:val="none"/>
        </w:rPr>
      </w:pPr>
      <w:r>
        <w:rPr>
          <w:rFonts w:ascii="宋体;SimSun" w:hAnsi="宋体;SimSun" w:cs="宋体;SimSun"/>
          <w:color w:val="auto"/>
          <w:highlight w:val="none"/>
        </w:rPr>
        <w:t xml:space="preserve">（3）应备有足够的备品备件及备用仪器，对其使用情况进行定期清点，定期更换；在仪器设备故障后短时间内（不超过两天）不能排除时，应立即更换；在应急状况下能按</w:t>
      </w:r>
      <w:r>
        <w:rPr>
          <w:rFonts w:ascii="宋体;SimSun" w:hAnsi="宋体;SimSun" w:cs="宋体;SimSun"/>
          <w:color w:val="auto"/>
          <w:highlight w:val="none"/>
          <w:lang w:val="en-US"/>
        </w:rPr>
        <w:t xml:space="preserve">园区</w:t>
      </w:r>
      <w:r>
        <w:rPr>
          <w:rFonts w:ascii="宋体;SimSun" w:hAnsi="宋体;SimSun" w:cs="宋体;SimSun"/>
          <w:color w:val="auto"/>
          <w:highlight w:val="none"/>
        </w:rPr>
        <w:t xml:space="preserve">要求随时更换。</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（4）地下水监测中应考虑干扰因子引发浑浊、背景吸光、显色抑制等对总氮监测的影响，需要排查园区地下水干扰项并设计预处理措施。</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（5）针对沿海区域地下水高氯化物数值特征，地下水氯化物自动监测设备可以相应扩展量程。</w:t>
      </w:r>
      <w:r/>
    </w:p>
    <w:p>
      <w:pPr>
        <w:pStyle w:val="1130"/>
        <w:numPr>
          <w:ilvl w:val="0"/>
          <w:numId w:val="7"/>
        </w:numPr>
        <w:spacing w:before="156" w:after="156"/>
        <w:rPr>
          <w:rFonts w:ascii="宋体;SimSun" w:hAnsi="宋体;SimSun" w:cs="宋体;SimSun"/>
          <w:color w:val="auto"/>
          <w:highlight w:val="none"/>
        </w:rPr>
        <w:outlineLvl w:val="3"/>
      </w:pPr>
      <w:r>
        <w:rPr>
          <w:rFonts w:ascii="宋体;SimSun" w:hAnsi="宋体;SimSun" w:cs="宋体;SimSun"/>
          <w:color w:val="auto"/>
          <w:highlight w:val="none"/>
        </w:rPr>
        <w:t xml:space="preserve">系统设备维修要求</w:t>
      </w:r>
      <w:r/>
    </w:p>
    <w:p>
      <w:pPr>
        <w:pStyle w:val="1129"/>
        <w:ind w:firstLine="480"/>
        <w:rPr>
          <w:color w:val="auto"/>
          <w:highlight w:val="none"/>
        </w:rPr>
      </w:pPr>
      <w:r>
        <w:rPr>
          <w:color w:val="auto"/>
          <w:highlight w:val="none"/>
        </w:rPr>
        <w:t xml:space="preserve">（1）需负责水质自动监测系统各组成部分非自然灾害（自然灾害如地震、海啸、火灾、雷击等）、非战争等外部因素引起的采水、预处理、检测、数据传输与系统控制等设备设施的维护、维修工作（含基础设施）。并负责系统各设备常规备品备件的更换工作；由中标人负责自动站系统所有设备和仪器的维修和调试，并将维修费用计算在报价中。属于工作人员操作不当、违反规程及管理不善等造成的故障维修费用、丢失和损坏设备的费用由业主负责。</w:t>
      </w:r>
      <w:r>
        <w:rPr>
          <w:color w:val="auto"/>
          <w:highlight w:val="none"/>
        </w:rPr>
        <w:br/>
      </w:r>
      <w:r>
        <w:rPr>
          <w:color w:val="auto"/>
          <w:highlight w:val="none"/>
        </w:rPr>
        <w:t xml:space="preserve">（2）检测仪器被修复后，当其检测性能受到影响时，需要进行检验，应配合甲方采用标准溶液测定或实际样品比对的方法进行；仪器大修后（更换设备测试关键部件），应配合甲方按顺序进行漂移实验（零点漂移、量程漂移）、重复性及准确度实验、实际样品比对实验。</w:t>
      </w:r>
      <w:r/>
    </w:p>
    <w:p>
      <w:pPr>
        <w:pStyle w:val="1130"/>
        <w:numPr>
          <w:ilvl w:val="0"/>
          <w:numId w:val="7"/>
        </w:numPr>
        <w:spacing w:before="156" w:after="156"/>
        <w:rPr>
          <w:rFonts w:ascii="宋体;SimSun" w:hAnsi="宋体;SimSun" w:cs="宋体;SimSun"/>
          <w:color w:val="auto"/>
          <w:highlight w:val="none"/>
        </w:rPr>
        <w:outlineLvl w:val="3"/>
      </w:pPr>
      <w:r>
        <w:rPr>
          <w:rFonts w:ascii="宋体;SimSun" w:hAnsi="宋体;SimSun" w:cs="宋体;SimSun"/>
          <w:color w:val="auto"/>
          <w:highlight w:val="none"/>
        </w:rPr>
        <w:t xml:space="preserve">运维质量考核办法</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1、运维质量考核为季度考核，每3个月考核一次，具体办法见附表；</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2、考核等级为中的，应总结运维中问题，加以改进。考核等级为差的，应在1个月内进行整改，形成书面报告。</w:t>
      </w:r>
      <w:r/>
    </w:p>
    <w:p>
      <w:pPr>
        <w:pStyle w:val="1130"/>
        <w:ind w:firstLine="0"/>
        <w:rPr>
          <w:rFonts w:ascii="宋体;SimSun" w:hAnsi="宋体;SimSun" w:cs="宋体;SimSun"/>
          <w:color w:val="auto"/>
          <w:highlight w:val="none"/>
        </w:rPr>
        <w:outlineLvl w:val="3"/>
      </w:pPr>
      <w:r>
        <w:rPr>
          <w:rFonts w:ascii="宋体;SimSun" w:hAnsi="宋体;SimSun" w:cs="宋体;SimSun"/>
          <w:color w:val="auto"/>
          <w:highlight w:val="none"/>
        </w:rPr>
        <w:t xml:space="preserve">附表</w:t>
      </w:r>
      <w:r/>
    </w:p>
    <w:p>
      <w:pPr>
        <w:pStyle w:val="1131"/>
        <w:tabs>
          <w:tab w:val="clear" w:pos="0" w:leader="none"/>
        </w:tabs>
        <w:rPr>
          <w:color w:val="auto"/>
          <w:highlight w:val="none"/>
        </w:rPr>
      </w:pPr>
      <w:r>
        <w:rPr>
          <w:color w:val="auto"/>
          <w:highlight w:val="none"/>
        </w:rPr>
        <w:t xml:space="preserve">氨氮、高锰酸盐指数、总磷、总氮质控措施技术要求</w:t>
      </w:r>
      <w:r/>
    </w:p>
    <w:tbl>
      <w:tblPr>
        <w:tblStyle w:val="1006"/>
        <w:tblW w:w="5000" w:type="pct"/>
        <w:jc w:val="center"/>
        <w:tblLayout w:type="fixed"/>
        <w:tblCellMar>
          <w:left w:w="108" w:type="dxa"/>
          <w:top w:w="0" w:type="dxa"/>
          <w:right w:w="108" w:type="dxa"/>
          <w:bottom w:w="0" w:type="dxa"/>
        </w:tblCellMar>
        <w:tblLook w:val="04A0" w:firstRow="1" w:lastRow="0" w:firstColumn="1" w:lastColumn="0" w:noHBand="0" w:noVBand="1"/>
      </w:tblPr>
      <w:tblGrid>
        <w:gridCol w:w="767"/>
        <w:gridCol w:w="1521"/>
        <w:gridCol w:w="1177"/>
        <w:gridCol w:w="1408"/>
        <w:gridCol w:w="221"/>
        <w:gridCol w:w="960"/>
        <w:gridCol w:w="1302"/>
        <w:gridCol w:w="1165"/>
      </w:tblGrid>
      <w:tr>
        <w:trPr>
          <w:jc w:val="center"/>
          <w:trHeight w:val="577"/>
        </w:trPr>
        <w:tc>
          <w:tcPr>
            <w:gridSpan w:val="2"/>
            <w:tcBorders>
              <w:top w:val="single" w:color="000000" w:sz="4" w:space="0"/>
              <w:left w:val="single" w:color="000000" w:sz="4" w:space="0"/>
              <w:bottom w:val="single" w:color="000000" w:sz="4" w:space="0"/>
              <w:right w:val="single" w:color="000000" w:sz="4" w:space="0"/>
            </w:tcBorders>
            <w:tcW w:w="2231" w:type="dxa"/>
            <w:vAlign w:val="center"/>
            <w:vMerge w:val="restart"/>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质控措施</w:t>
            </w:r>
            <w:r/>
          </w:p>
        </w:tc>
        <w:tc>
          <w:tcPr>
            <w:gridSpan w:val="6"/>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技术要求</w:t>
            </w:r>
            <w:r/>
          </w:p>
        </w:tc>
      </w:tr>
      <w:tr>
        <w:trPr>
          <w:jc w:val="center"/>
          <w:trHeight w:val="353"/>
        </w:trPr>
        <w:tc>
          <w:tcPr>
            <w:gridSpan w:val="2"/>
            <w:tcBorders>
              <w:top w:val="single" w:color="000000" w:sz="4" w:space="0"/>
              <w:left w:val="single" w:color="000000" w:sz="4" w:space="0"/>
              <w:bottom w:val="single" w:color="000000" w:sz="4" w:space="0"/>
              <w:right w:val="single" w:color="000000" w:sz="4" w:space="0"/>
            </w:tcBorders>
            <w:tcW w:w="2231" w:type="dxa"/>
            <w:vAlign w:val="center"/>
            <w:vMerge w:val="continue"/>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高锰酸盐指数</w:t>
            </w:r>
            <w:r/>
          </w:p>
        </w:tc>
        <w:tc>
          <w:tcPr>
            <w:gridSpan w:val="2"/>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氨氮</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总磷</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总氮</w:t>
            </w:r>
            <w:r/>
          </w:p>
        </w:tc>
      </w:tr>
      <w:tr>
        <w:trPr>
          <w:jc w:val="center"/>
          <w:trHeight w:val="342"/>
        </w:trPr>
        <w:tc>
          <w:tcPr>
            <w:gridSpan w:val="2"/>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零点核查</w:t>
            </w:r>
            <w:r/>
          </w:p>
        </w:tc>
        <w:tc>
          <w:tcPr>
            <w:gridSpan w:val="2"/>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±1.0mg/L</w:t>
            </w:r>
            <w:r/>
          </w:p>
        </w:tc>
        <w:tc>
          <w:tcPr>
            <w:gridSpan w:val="2"/>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±0.2mg/L</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±0.02mg/L</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±0.3mg/L</w:t>
            </w:r>
            <w:r/>
          </w:p>
        </w:tc>
      </w:tr>
      <w:tr>
        <w:trPr>
          <w:jc w:val="center"/>
          <w:trHeight w:val="353"/>
        </w:trPr>
        <w:tc>
          <w:tcPr>
            <w:gridSpan w:val="2"/>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24小时零点漂移</w:t>
            </w:r>
            <w:r/>
          </w:p>
        </w:tc>
        <w:tc>
          <w:tcPr>
            <w:gridSpan w:val="2"/>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±10%</w:t>
            </w:r>
            <w:r/>
          </w:p>
        </w:tc>
        <w:tc>
          <w:tcPr>
            <w:gridSpan w:val="4"/>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±5%</w:t>
            </w:r>
            <w:r/>
          </w:p>
        </w:tc>
      </w:tr>
      <w:tr>
        <w:trPr>
          <w:jc w:val="center"/>
          <w:trHeight w:val="342"/>
        </w:trPr>
        <w:tc>
          <w:tcPr>
            <w:gridSpan w:val="2"/>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跨度核查</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±10%（非浮船站）</w:t>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±15%（浮船站）</w:t>
            </w:r>
            <w:r/>
          </w:p>
        </w:tc>
        <w:tc>
          <w:tcPr>
            <w:gridSpan w:val="4"/>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±10%</w:t>
            </w:r>
            <w:r/>
          </w:p>
        </w:tc>
      </w:tr>
      <w:tr>
        <w:trPr>
          <w:jc w:val="center"/>
          <w:trHeight w:val="353"/>
        </w:trPr>
        <w:tc>
          <w:tcPr>
            <w:gridSpan w:val="2"/>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24小时跨度漂移</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±10%（非浮船站）</w:t>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±15%（浮船站）</w:t>
            </w:r>
            <w:r/>
          </w:p>
        </w:tc>
        <w:tc>
          <w:tcPr>
            <w:gridSpan w:val="4"/>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±10%</w:t>
            </w:r>
            <w:r/>
          </w:p>
        </w:tc>
      </w:tr>
      <w:tr>
        <w:trPr>
          <w:jc w:val="center"/>
          <w:trHeight w:val="92"/>
        </w:trPr>
        <w:tc>
          <w:tcPr>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多点线性核查</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相关系数r</w:t>
            </w:r>
            <w:r/>
          </w:p>
        </w:tc>
        <w:tc>
          <w:tcPr>
            <w:gridSpan w:val="6"/>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≥0.98</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示值误差</w:t>
            </w:r>
            <w:r/>
          </w:p>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（非零点）</w:t>
            </w:r>
            <w:r/>
          </w:p>
        </w:tc>
        <w:tc>
          <w:tcPr>
            <w:gridSpan w:val="6"/>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±10%</w:t>
            </w:r>
            <w:r/>
          </w:p>
        </w:tc>
      </w:tr>
      <w:tr>
        <w:trPr>
          <w:jc w:val="center"/>
          <w:trHeight w:val="223"/>
        </w:trPr>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零点示值误差</w:t>
            </w:r>
            <w:r/>
          </w:p>
        </w:tc>
        <w:tc>
          <w:tcPr>
            <w:gridSpan w:val="2"/>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±1.0mg/L</w:t>
            </w:r>
            <w:r/>
          </w:p>
        </w:tc>
        <w:tc>
          <w:tcPr>
            <w:gridSpan w:val="2"/>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±0.2mg/L</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±0.02mg/L</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±0.3mg/L</w:t>
            </w:r>
            <w:r/>
          </w:p>
        </w:tc>
      </w:tr>
      <w:tr>
        <w:trPr>
          <w:jc w:val="center"/>
          <w:trHeight w:val="183"/>
        </w:trPr>
        <w:tc>
          <w:tcPr>
            <w:gridSpan w:val="2"/>
            <w:tcBorders>
              <w:top w:val="single" w:color="000000" w:sz="4" w:space="0"/>
              <w:left w:val="single" w:color="000000" w:sz="4" w:space="0"/>
              <w:bottom w:val="single" w:color="000000" w:sz="4" w:space="0"/>
              <w:right w:val="single" w:color="000000" w:sz="4" w:space="0"/>
            </w:tcBorders>
            <w:tcW w:w="2231" w:type="dxa"/>
            <w:vAlign w:val="center"/>
            <w:vMerge w:val="restart"/>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实际水样比对</w:t>
            </w:r>
            <w:r/>
          </w:p>
        </w:tc>
        <w:tc>
          <w:tcPr>
            <w:gridSpan w:val="3"/>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132"/>
              <w:jc w:val="both"/>
              <w:widowControl w:val="off"/>
              <w:rPr>
                <w:rFonts w:ascii="宋体;SimSun" w:hAnsi="宋体;SimSun" w:cs="宋体;SimSun"/>
                <w:bCs/>
                <w:color w:val="auto"/>
                <w:highlight w:val="none"/>
              </w:rPr>
            </w:pPr>
            <w:r>
              <w:rPr>
                <w:color w:val="auto"/>
                <w:highlight w:val="none"/>
              </w:rPr>
            </w:r>
            <w:r>
              <w:rPr>
                <w:color w:val="auto"/>
                <w:highlight w:val="none"/>
              </w:rPr>
              <mc:AlternateContent>
                <mc:Choice Requires="wpg">
                  <w:drawing>
                    <wp:inline xmlns:wp="http://schemas.openxmlformats.org/drawingml/2006/wordprocessingDrawing" distT="0" distB="0" distL="0" distR="0">
                      <wp:extent cx="586105" cy="1809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86105" cy="1809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1pt;height:14.2pt;mso-wrap-distance-left:0.0pt;mso-wrap-distance-top:0.0pt;mso-wrap-distance-right:0.0pt;mso-wrap-distance-bottom:0.0pt;" stroked="f">
                      <v:path textboxrect="0,0,0,0"/>
                      <v:imagedata r:id="rId25" o:title=""/>
                    </v:shape>
                  </w:pict>
                </mc:Fallback>
              </mc:AlternateContent>
            </w:r>
            <w:r/>
          </w:p>
        </w:tc>
        <w:tc>
          <w:tcPr>
            <w:gridSpan w:val="3"/>
            <w:tcBorders>
              <w:top w:val="single" w:color="000000" w:sz="4" w:space="0"/>
              <w:left w:val="single" w:color="000000" w:sz="4" w:space="0"/>
              <w:bottom w:val="single" w:color="000000" w:sz="4" w:space="0"/>
              <w:right w:val="single" w:color="000000" w:sz="4" w:space="0"/>
            </w:tcBorders>
            <w:tcW w:w="3340"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相对误差≤20%</w:t>
            </w:r>
            <w:r/>
          </w:p>
        </w:tc>
      </w:tr>
      <w:tr>
        <w:trPr>
          <w:jc w:val="center"/>
          <w:trHeight w:val="89"/>
        </w:trPr>
        <w:tc>
          <w:tcPr>
            <w:gridSpan w:val="2"/>
            <w:tcBorders>
              <w:top w:val="single" w:color="000000" w:sz="4" w:space="0"/>
              <w:left w:val="single" w:color="000000" w:sz="4" w:space="0"/>
              <w:bottom w:val="single" w:color="000000" w:sz="4" w:space="0"/>
              <w:right w:val="single" w:color="000000" w:sz="4" w:space="0"/>
            </w:tcBorders>
            <w:tcW w:w="2231" w:type="dxa"/>
            <w:vAlign w:val="center"/>
            <w:vMerge w:val="continue"/>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r>
            <w:r/>
          </w:p>
        </w:tc>
        <w:tc>
          <w:tcPr>
            <w:gridSpan w:val="3"/>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132"/>
              <w:jc w:val="both"/>
              <w:widowControl w:val="off"/>
              <w:rPr>
                <w:rFonts w:ascii="宋体;SimSun" w:hAnsi="宋体;SimSun" w:cs="宋体;SimSun"/>
                <w:bCs/>
                <w:color w:val="auto"/>
                <w:highlight w:val="none"/>
              </w:rPr>
            </w:pPr>
            <w:r>
              <w:rPr>
                <w:color w:val="auto"/>
                <w:highlight w:val="none"/>
              </w:rPr>
            </w:r>
            <w:r>
              <w:rPr>
                <w:color w:val="auto"/>
                <w:highlight w:val="none"/>
              </w:rPr>
              <mc:AlternateContent>
                <mc:Choice Requires="wpg">
                  <w:drawing>
                    <wp:inline xmlns:wp="http://schemas.openxmlformats.org/drawingml/2006/wordprocessingDrawing" distT="0" distB="0" distL="0" distR="0">
                      <wp:extent cx="919480" cy="1809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19480" cy="1809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4pt;height:14.2pt;mso-wrap-distance-left:0.0pt;mso-wrap-distance-top:0.0pt;mso-wrap-distance-right:0.0pt;mso-wrap-distance-bottom:0.0pt;" stroked="f">
                      <v:path textboxrect="0,0,0,0"/>
                      <v:imagedata r:id="rId26" o:title=""/>
                    </v:shape>
                  </w:pict>
                </mc:Fallback>
              </mc:AlternateContent>
            </w:r>
            <w:r/>
          </w:p>
        </w:tc>
        <w:tc>
          <w:tcPr>
            <w:gridSpan w:val="3"/>
            <w:tcBorders>
              <w:top w:val="single" w:color="000000" w:sz="4" w:space="0"/>
              <w:left w:val="single" w:color="000000" w:sz="4" w:space="0"/>
              <w:bottom w:val="single" w:color="000000" w:sz="4" w:space="0"/>
              <w:right w:val="single" w:color="000000" w:sz="4" w:space="0"/>
            </w:tcBorders>
            <w:tcW w:w="3340"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相对误差≤30%</w:t>
            </w:r>
            <w:r/>
          </w:p>
        </w:tc>
      </w:tr>
      <w:tr>
        <w:trPr>
          <w:jc w:val="center"/>
          <w:trHeight w:val="412"/>
        </w:trPr>
        <w:tc>
          <w:tcPr>
            <w:gridSpan w:val="2"/>
            <w:tcBorders>
              <w:top w:val="single" w:color="000000" w:sz="4" w:space="0"/>
              <w:left w:val="single" w:color="000000" w:sz="4" w:space="0"/>
              <w:bottom w:val="single" w:color="000000" w:sz="4" w:space="0"/>
              <w:right w:val="single" w:color="000000" w:sz="4" w:space="0"/>
            </w:tcBorders>
            <w:tcW w:w="2231" w:type="dxa"/>
            <w:vAlign w:val="center"/>
            <w:vMerge w:val="continue"/>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r>
            <w:r/>
          </w:p>
        </w:tc>
        <w:tc>
          <w:tcPr>
            <w:gridSpan w:val="3"/>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132"/>
              <w:jc w:val="left"/>
              <w:widowControl w:val="off"/>
              <w:rPr>
                <w:rFonts w:ascii="宋体;SimSun" w:hAnsi="宋体;SimSun" w:cs="宋体;SimSun"/>
                <w:bCs/>
                <w:color w:val="auto"/>
                <w:highlight w:val="none"/>
              </w:rPr>
            </w:pPr>
            <w:r/>
            <m:oMathPara>
              <m:oMathParaPr>
                <m:jc m:val="left"/>
              </m:oMathParaPr>
              <m:oMath>
                <m:r>
                  <w:rPr>
                    <w:rFonts w:ascii="Cambria Math" w:hAnsi="Cambria Math"/>
                    <w:b w:val="0"/>
                    <w:i w:val="0"/>
                    <w:color w:val="auto"/>
                    <w:highlight w:val="none"/>
                  </w:rPr>
                  <m:rPr>
                    <m:nor m:val="on"/>
                    <m:sty m:val="p"/>
                  </m:rPr>
                  <m:t>Cx</m:t>
                </m:r>
                <m:r>
                  <w:rPr>
                    <w:rFonts w:ascii="Cambria Math" w:hAnsi="Cambria Math"/>
                    <w:color w:val="auto"/>
                    <w:highlight w:val="none"/>
                  </w:rPr>
                  <m:rPr/>
                  <m:t>≤</m:t>
                </m:r>
                <m:r>
                  <w:rPr>
                    <w:rFonts w:ascii="Cambria Math" w:hAnsi="Cambria Math"/>
                    <w:b w:val="0"/>
                    <w:i w:val="0"/>
                    <w:color w:val="auto"/>
                    <w:highlight w:val="none"/>
                  </w:rPr>
                  <m:rPr>
                    <m:nor m:val="on"/>
                    <m:sty m:val="p"/>
                  </m:rPr>
                  <m:t>BII</m:t>
                </m:r>
              </m:oMath>
            </m:oMathPara>
            <w:r/>
            <w:r/>
          </w:p>
        </w:tc>
        <w:tc>
          <w:tcPr>
            <w:gridSpan w:val="3"/>
            <w:tcBorders>
              <w:top w:val="single" w:color="000000" w:sz="4" w:space="0"/>
              <w:left w:val="single" w:color="000000" w:sz="4" w:space="0"/>
              <w:bottom w:val="single" w:color="000000" w:sz="4" w:space="0"/>
              <w:right w:val="single" w:color="000000" w:sz="4" w:space="0"/>
            </w:tcBorders>
            <w:tcW w:w="3340"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相对误差≤40%</w:t>
            </w:r>
            <w:r/>
          </w:p>
        </w:tc>
      </w:tr>
      <w:tr>
        <w:trPr>
          <w:jc w:val="center"/>
          <w:trHeight w:val="730"/>
        </w:trPr>
        <w:tc>
          <w:tcPr>
            <w:gridSpan w:val="2"/>
            <w:tcBorders>
              <w:top w:val="single" w:color="000000" w:sz="4" w:space="0"/>
              <w:left w:val="single" w:color="000000" w:sz="4" w:space="0"/>
              <w:bottom w:val="single" w:color="000000" w:sz="4" w:space="0"/>
              <w:right w:val="single" w:color="000000" w:sz="4" w:space="0"/>
            </w:tcBorders>
            <w:tcW w:w="2231" w:type="dxa"/>
            <w:vAlign w:val="center"/>
            <w:vMerge w:val="continue"/>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r>
            <w:r/>
          </w:p>
        </w:tc>
        <w:tc>
          <w:tcPr>
            <w:gridSpan w:val="6"/>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pStyle w:val="1132"/>
              <w:jc w:val="both"/>
              <w:widowControl w:val="off"/>
              <w:rPr>
                <w:rFonts w:ascii="宋体;SimSun" w:hAnsi="宋体;SimSun" w:cs="宋体;SimSun"/>
                <w:color w:val="auto"/>
                <w:highlight w:val="none"/>
                <w:shd w:val="clear" w:color="auto" w:fill="ffffff"/>
              </w:rPr>
            </w:pPr>
            <w:r>
              <w:rPr>
                <w:rFonts w:ascii="宋体;SimSun" w:hAnsi="宋体;SimSun" w:cs="宋体;SimSun"/>
                <w:color w:val="auto"/>
                <w:highlight w:val="none"/>
                <w:shd w:val="clear" w:color="auto" w:fill="ffffff"/>
              </w:rPr>
              <w:t xml:space="preserve">当自动监测结果和实验室分析结果均低于BⅡ时，认定比对实验结果合格。</w:t>
            </w:r>
            <w:r/>
          </w:p>
          <w:p>
            <w:pPr>
              <w:pStyle w:val="1132"/>
              <w:jc w:val="both"/>
              <w:widowControl w:val="off"/>
              <w:rPr>
                <w:color w:val="auto"/>
                <w:highlight w:val="none"/>
              </w:rPr>
            </w:pPr>
            <w:r>
              <w:rPr>
                <w:rFonts w:ascii="宋体;SimSun" w:hAnsi="宋体;SimSun" w:cs="宋体;SimSun"/>
                <w:bCs/>
                <w:color w:val="auto"/>
                <w:highlight w:val="none"/>
                <w:shd w:val="clear" w:color="auto" w:fill="ffffff"/>
              </w:rPr>
              <w:t xml:space="preserve">注：①</w:t>
            </w:r>
            <w:r>
              <w:rPr>
                <w:color w:val="auto"/>
                <w:highlight w:val="none"/>
              </w:rPr>
              <mc:AlternateContent>
                <mc:Choice Requires="wpg">
                  <w:drawing>
                    <wp:inline xmlns:wp="http://schemas.openxmlformats.org/drawingml/2006/wordprocessingDrawing" distT="0" distB="0" distL="0" distR="0">
                      <wp:extent cx="177800" cy="168910"/>
                      <wp:effectExtent l="0" t="0" r="0" b="0"/>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pic:cNvPicPr>
                              <pic:nvPr/>
                            </pic:nvPicPr>
                            <pic:blipFill>
                              <a:blip r:embed="rId27"/>
                              <a:srcRect l="-202" t="-640" r="-605" b="-640"/>
                              <a:stretch/>
                            </pic:blipFill>
                            <pic:spPr bwMode="auto">
                              <a:xfrm>
                                <a:off x="0" y="0"/>
                                <a:ext cx="177800" cy="168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0pt;height:13.3pt;mso-wrap-distance-left:0.0pt;mso-wrap-distance-top:0.0pt;mso-wrap-distance-right:0.0pt;mso-wrap-distance-bottom:0.0pt;" stroked="false">
                      <v:path textboxrect="0,0,0,0"/>
                      <v:imagedata r:id="rId27" o:title=""/>
                    </v:shape>
                  </w:pict>
                </mc:Fallback>
              </mc:AlternateContent>
            </w:r>
            <w:r>
              <w:rPr>
                <w:rFonts w:ascii="宋体;SimSun" w:hAnsi="宋体;SimSun" w:cs="宋体;SimSun"/>
                <w:color w:val="auto"/>
                <w:highlight w:val="none"/>
              </w:rPr>
              <w:t xml:space="preserve">为实验室分析结果；</w:t>
            </w:r>
            <w:r/>
          </w:p>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②B 为《地表水环境质量标准》（GB 3838）规定的水质类别限值；</w:t>
            </w:r>
            <w:r/>
          </w:p>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③总氮河流无水质类别标准，可参考湖库标准。</w:t>
            </w:r>
            <w:r/>
          </w:p>
        </w:tc>
      </w:tr>
      <w:tr>
        <w:trPr>
          <w:jc w:val="center"/>
          <w:trHeight w:val="353"/>
        </w:trPr>
        <w:tc>
          <w:tcPr>
            <w:gridSpan w:val="2"/>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加标回收率自动测试</w:t>
            </w:r>
            <w:r/>
          </w:p>
        </w:tc>
        <w:tc>
          <w:tcPr>
            <w:gridSpan w:val="6"/>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80%~120%</w:t>
            </w:r>
            <w:r/>
          </w:p>
        </w:tc>
      </w:tr>
      <w:tr>
        <w:trPr>
          <w:jc w:val="center"/>
          <w:trHeight w:val="326"/>
        </w:trPr>
        <w:tc>
          <w:tcPr>
            <w:gridSpan w:val="2"/>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集成干预检查</w:t>
            </w:r>
            <w:r/>
          </w:p>
        </w:tc>
        <w:tc>
          <w:tcPr>
            <w:gridSpan w:val="6"/>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pStyle w:val="1132"/>
              <w:jc w:val="both"/>
              <w:widowControl w:val="off"/>
              <w:rPr>
                <w:rFonts w:ascii="宋体;SimSun" w:hAnsi="宋体;SimSun" w:cs="宋体;SimSun"/>
                <w:bCs/>
                <w:color w:val="auto"/>
                <w:highlight w:val="none"/>
              </w:rPr>
            </w:pPr>
            <w:r>
              <w:rPr>
                <w:rFonts w:ascii="宋体;SimSun" w:hAnsi="宋体;SimSun" w:cs="宋体;SimSun"/>
                <w:bCs/>
                <w:color w:val="auto"/>
                <w:highlight w:val="none"/>
              </w:rPr>
              <w:t xml:space="preserve">±10%</w:t>
            </w:r>
            <w:r/>
          </w:p>
        </w:tc>
      </w:tr>
    </w:tbl>
    <w:p>
      <w:pPr>
        <w:pStyle w:val="1131"/>
        <w:tabs>
          <w:tab w:val="clear" w:pos="0" w:leader="none"/>
        </w:tabs>
        <w:rPr>
          <w:color w:val="auto"/>
          <w:highlight w:val="none"/>
        </w:rPr>
      </w:pPr>
      <w:r>
        <w:rPr>
          <w:color w:val="auto"/>
          <w:highlight w:val="none"/>
        </w:rPr>
        <w:t xml:space="preserve">地表水常规五参数质控措施要求</w:t>
      </w:r>
      <w:r/>
    </w:p>
    <w:tbl>
      <w:tblPr>
        <w:tblStyle w:val="1006"/>
        <w:tblW w:w="5000" w:type="pct"/>
        <w:jc w:val="center"/>
        <w:tblLayout w:type="fixed"/>
        <w:tblCellMar>
          <w:left w:w="108" w:type="dxa"/>
          <w:top w:w="0" w:type="dxa"/>
          <w:right w:w="108" w:type="dxa"/>
          <w:bottom w:w="0" w:type="dxa"/>
        </w:tblCellMar>
        <w:tblLook w:val="04A0" w:firstRow="1" w:lastRow="0" w:firstColumn="1" w:lastColumn="0" w:noHBand="0" w:noVBand="1"/>
      </w:tblPr>
      <w:tblGrid>
        <w:gridCol w:w="1149"/>
        <w:gridCol w:w="2532"/>
        <w:gridCol w:w="1036"/>
        <w:gridCol w:w="2535"/>
        <w:gridCol w:w="1269"/>
      </w:tblGrid>
      <w:tr>
        <w:trPr>
          <w:jc w:val="center"/>
          <w:trHeight w:val="319"/>
        </w:trPr>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监测项目</w:t>
            </w:r>
            <w:r/>
          </w:p>
        </w:tc>
        <w:tc>
          <w:tcPr>
            <w:gridSpan w:val="4"/>
            <w:tcBorders>
              <w:top w:val="single" w:color="000000" w:sz="4" w:space="0"/>
              <w:left w:val="single" w:color="000000" w:sz="4" w:space="0"/>
              <w:bottom w:val="single" w:color="000000" w:sz="4" w:space="0"/>
              <w:right w:val="single" w:color="000000" w:sz="4" w:space="0"/>
            </w:tcBorders>
            <w:tcW w:w="7185"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技术要求</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3478"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标准溶液考核</w:t>
            </w:r>
            <w:r/>
          </w:p>
        </w:tc>
        <w:tc>
          <w:tcPr>
            <w:gridSpan w:val="2"/>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实际水样比对</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水温</w:t>
            </w:r>
            <w:r/>
          </w:p>
        </w:tc>
        <w:tc>
          <w:tcPr>
            <w:gridSpan w:val="2"/>
            <w:tcBorders>
              <w:top w:val="single" w:color="000000" w:sz="4" w:space="0"/>
              <w:left w:val="single" w:color="000000" w:sz="4" w:space="0"/>
              <w:bottom w:val="single" w:color="000000" w:sz="4" w:space="0"/>
              <w:right w:val="single" w:color="000000" w:sz="4" w:space="0"/>
            </w:tcBorders>
            <w:tcW w:w="3478"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pStyle w:val="1132"/>
              <w:jc w:val="both"/>
              <w:widowControl w:val="off"/>
              <w:rPr>
                <w:color w:val="auto"/>
                <w:highlight w:val="none"/>
              </w:rPr>
            </w:pPr>
            <w:r>
              <w:rPr>
                <w:rFonts w:ascii="宋体;SimSun" w:hAnsi="宋体;SimSun" w:cs="宋体;SimSun"/>
                <w:color w:val="auto"/>
                <w:highlight w:val="none"/>
              </w:rPr>
              <w:t xml:space="preserve">±0.5</w:t>
            </w:r>
            <w:r>
              <w:rPr>
                <w:rFonts w:ascii="宋体;SimSun" w:hAnsi="宋体;SimSun" w:cs="宋体;SimSun"/>
                <w:color w:val="auto"/>
                <w:highlight w:val="none"/>
                <w:lang w:eastAsia="ja-JP"/>
              </w:rPr>
              <w:t xml:space="preserve">℃</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pH</w:t>
            </w:r>
            <w:r/>
          </w:p>
        </w:tc>
        <w:tc>
          <w:tcPr>
            <w:gridSpan w:val="2"/>
            <w:tcBorders>
              <w:top w:val="single" w:color="000000" w:sz="4" w:space="0"/>
              <w:left w:val="single" w:color="000000" w:sz="4" w:space="0"/>
              <w:bottom w:val="single" w:color="000000" w:sz="4" w:space="0"/>
              <w:right w:val="single" w:color="000000" w:sz="4" w:space="0"/>
            </w:tcBorders>
            <w:tcW w:w="3478"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±0.15</w:t>
            </w:r>
            <w:r/>
          </w:p>
        </w:tc>
        <w:tc>
          <w:tcPr>
            <w:gridSpan w:val="2"/>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±0.5</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溶解氧</w:t>
            </w:r>
            <w:r/>
          </w:p>
        </w:tc>
        <w:tc>
          <w:tcPr>
            <w:gridSpan w:val="2"/>
            <w:tcBorders>
              <w:top w:val="single" w:color="000000" w:sz="4" w:space="0"/>
              <w:left w:val="single" w:color="000000" w:sz="4" w:space="0"/>
              <w:bottom w:val="single" w:color="000000" w:sz="4" w:space="0"/>
              <w:right w:val="single" w:color="000000" w:sz="4" w:space="0"/>
            </w:tcBorders>
            <w:tcW w:w="3478" w:type="dxa"/>
            <w:vAlign w:val="center"/>
            <w:vMerge w:val="restart"/>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±0.3mg/L</w:t>
            </w:r>
            <w:r/>
          </w:p>
        </w:tc>
        <w:tc>
          <w:tcPr>
            <w:gridSpan w:val="2"/>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±0.5mg/L</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3478" w:type="dxa"/>
            <w:vAlign w:val="center"/>
            <w:vMerge w:val="continue"/>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溶解氧过饱和时不考核</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电导率</w:t>
            </w:r>
            <w:r/>
          </w:p>
        </w:tc>
        <w:tc>
          <w:tcPr>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pStyle w:val="1132"/>
              <w:jc w:val="both"/>
              <w:widowControl w:val="off"/>
              <w:rPr>
                <w:color w:val="auto"/>
                <w:highlight w:val="none"/>
              </w:rPr>
            </w:pPr>
            <w:r>
              <w:rPr>
                <w:rFonts w:ascii="宋体;SimSun" w:hAnsi="宋体;SimSun" w:cs="宋体;SimSun"/>
                <w:bCs/>
                <w:color w:val="auto"/>
                <w:highlight w:val="none"/>
                <w:lang w:val="zh-CN"/>
              </w:rPr>
              <w:t xml:space="preserve">标准溶液值＞100μS/cm</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132"/>
              <w:jc w:val="both"/>
              <w:widowControl w:val="off"/>
              <w:rPr>
                <w:rFonts w:ascii="宋体;SimSun" w:hAnsi="宋体;SimSun" w:cs="宋体;SimSun"/>
                <w:bCs/>
                <w:color w:val="auto"/>
                <w:highlight w:val="none"/>
                <w:lang w:val="zh-CN"/>
              </w:rPr>
            </w:pPr>
            <w:r>
              <w:rPr>
                <w:rFonts w:ascii="宋体;SimSun" w:hAnsi="宋体;SimSun" w:cs="宋体;SimSun"/>
                <w:bCs/>
                <w:color w:val="auto"/>
                <w:highlight w:val="none"/>
                <w:lang w:val="zh-CN"/>
              </w:rPr>
              <w:t xml:space="preserve">±5%</w:t>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1132"/>
              <w:jc w:val="both"/>
              <w:widowControl w:val="off"/>
              <w:rPr>
                <w:rFonts w:ascii="宋体;SimSun" w:hAnsi="宋体;SimSun" w:cs="宋体;SimSun"/>
                <w:bCs/>
                <w:color w:val="auto"/>
                <w:highlight w:val="none"/>
                <w:lang w:val="zh-CN"/>
              </w:rPr>
            </w:pPr>
            <w:r>
              <w:rPr>
                <w:rFonts w:ascii="宋体;SimSun" w:hAnsi="宋体;SimSun" w:cs="宋体;SimSun"/>
                <w:bCs/>
                <w:color w:val="auto"/>
                <w:highlight w:val="none"/>
                <w:lang w:val="zh-CN"/>
              </w:rPr>
              <w:t xml:space="preserve">电导率＞100μS/cm</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1132"/>
              <w:jc w:val="both"/>
              <w:widowControl w:val="off"/>
              <w:rPr>
                <w:rFonts w:ascii="宋体;SimSun" w:hAnsi="宋体;SimSun" w:cs="宋体;SimSun"/>
                <w:bCs/>
                <w:color w:val="auto"/>
                <w:highlight w:val="none"/>
                <w:lang w:val="zh-CN"/>
              </w:rPr>
            </w:pPr>
            <w:r>
              <w:rPr>
                <w:rFonts w:ascii="宋体;SimSun" w:hAnsi="宋体;SimSun" w:cs="宋体;SimSun"/>
                <w:bCs/>
                <w:color w:val="auto"/>
                <w:highlight w:val="none"/>
                <w:lang w:val="zh-CN"/>
              </w:rPr>
              <w:t xml:space="preserve">±10%</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pStyle w:val="1132"/>
              <w:jc w:val="both"/>
              <w:widowControl w:val="off"/>
              <w:rPr>
                <w:rFonts w:ascii="宋体;SimSun" w:hAnsi="宋体;SimSun" w:cs="宋体;SimSun"/>
                <w:bCs/>
                <w:color w:val="auto"/>
                <w:highlight w:val="none"/>
                <w:lang w:val="zh-CN"/>
              </w:rPr>
            </w:pPr>
            <w:r>
              <w:rPr>
                <w:rFonts w:ascii="宋体;SimSun" w:hAnsi="宋体;SimSun" w:cs="宋体;SimSun"/>
                <w:bCs/>
                <w:color w:val="auto"/>
                <w:highlight w:val="none"/>
                <w:lang w:val="zh-CN"/>
              </w:rPr>
              <w:t xml:space="preserve">标准溶液值≤100μS/cm</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132"/>
              <w:jc w:val="both"/>
              <w:widowControl w:val="off"/>
              <w:rPr>
                <w:rFonts w:ascii="宋体;SimSun" w:hAnsi="宋体;SimSun" w:cs="宋体;SimSun"/>
                <w:bCs/>
                <w:color w:val="auto"/>
                <w:highlight w:val="none"/>
                <w:lang w:val="zh-CN"/>
              </w:rPr>
            </w:pPr>
            <w:r>
              <w:rPr>
                <w:rFonts w:ascii="宋体;SimSun" w:hAnsi="宋体;SimSun" w:cs="宋体;SimSun"/>
                <w:bCs/>
                <w:color w:val="auto"/>
                <w:highlight w:val="none"/>
                <w:lang w:val="zh-CN"/>
              </w:rPr>
              <w:t xml:space="preserve">±5μS/cm</w:t>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1132"/>
              <w:jc w:val="both"/>
              <w:widowControl w:val="off"/>
              <w:rPr>
                <w:rFonts w:ascii="宋体;SimSun" w:hAnsi="宋体;SimSun" w:cs="宋体;SimSun"/>
                <w:bCs/>
                <w:color w:val="auto"/>
                <w:highlight w:val="none"/>
                <w:lang w:val="zh-CN"/>
              </w:rPr>
            </w:pPr>
            <w:r>
              <w:rPr>
                <w:rFonts w:ascii="宋体;SimSun" w:hAnsi="宋体;SimSun" w:cs="宋体;SimSun"/>
                <w:bCs/>
                <w:color w:val="auto"/>
                <w:highlight w:val="none"/>
                <w:lang w:val="zh-CN"/>
              </w:rPr>
              <w:t xml:space="preserve">电导率≤100μS/cm</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1132"/>
              <w:jc w:val="both"/>
              <w:widowControl w:val="off"/>
              <w:rPr>
                <w:rFonts w:ascii="宋体;SimSun" w:hAnsi="宋体;SimSun" w:cs="宋体;SimSun"/>
                <w:bCs/>
                <w:color w:val="auto"/>
                <w:highlight w:val="none"/>
                <w:lang w:val="zh-CN"/>
              </w:rPr>
            </w:pPr>
            <w:r>
              <w:rPr>
                <w:rFonts w:ascii="宋体;SimSun" w:hAnsi="宋体;SimSun" w:cs="宋体;SimSun"/>
                <w:bCs/>
                <w:color w:val="auto"/>
                <w:highlight w:val="none"/>
                <w:lang w:val="zh-CN"/>
              </w:rPr>
              <w:t xml:space="preserve">±10μS/cm</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浊度</w:t>
            </w:r>
            <w:r/>
          </w:p>
        </w:tc>
        <w:tc>
          <w:tcPr>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浊度≤30NTU；</w:t>
            </w:r>
            <w:r/>
          </w:p>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浊度≥1000NTU</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不考核</w:t>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1132"/>
              <w:jc w:val="both"/>
              <w:widowControl w:val="off"/>
              <w:rPr>
                <w:color w:val="auto"/>
                <w:highlight w:val="none"/>
              </w:rPr>
            </w:pPr>
            <w:r>
              <w:rPr>
                <w:rFonts w:ascii="宋体;SimSun" w:hAnsi="宋体;SimSun" w:cs="宋体;SimSun"/>
                <w:bCs/>
                <w:color w:val="auto"/>
                <w:highlight w:val="none"/>
                <w:lang w:val="zh-CN"/>
              </w:rPr>
              <w:t xml:space="preserve">浊度</w:t>
            </w:r>
            <w:r>
              <w:rPr>
                <w:rFonts w:ascii="宋体;SimSun" w:hAnsi="宋体;SimSun" w:cs="宋体;SimSun"/>
                <w:color w:val="auto"/>
                <w:highlight w:val="none"/>
              </w:rPr>
              <w:t xml:space="preserve">≤30NTU；</w:t>
            </w:r>
            <w:r/>
          </w:p>
          <w:p>
            <w:pPr>
              <w:pStyle w:val="1132"/>
              <w:jc w:val="both"/>
              <w:widowControl w:val="off"/>
              <w:rPr>
                <w:color w:val="auto"/>
                <w:highlight w:val="none"/>
              </w:rPr>
            </w:pPr>
            <w:r>
              <w:rPr>
                <w:rFonts w:ascii="宋体;SimSun" w:hAnsi="宋体;SimSun" w:cs="宋体;SimSun"/>
                <w:bCs/>
                <w:color w:val="auto"/>
                <w:highlight w:val="none"/>
                <w:lang w:val="zh-CN"/>
              </w:rPr>
              <w:t xml:space="preserve">浊度</w:t>
            </w:r>
            <w:r>
              <w:rPr>
                <w:rFonts w:ascii="宋体;SimSun" w:hAnsi="宋体;SimSun" w:cs="宋体;SimSun"/>
                <w:color w:val="auto"/>
                <w:highlight w:val="none"/>
              </w:rPr>
              <w:t xml:space="preserve">≥1000NTU</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不考核</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30NTU＜浊度≤50NTU</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132"/>
              <w:jc w:val="both"/>
              <w:widowControl w:val="off"/>
              <w:rPr>
                <w:rFonts w:ascii="宋体;SimSun" w:hAnsi="宋体;SimSun" w:cs="宋体;SimSun"/>
                <w:bCs/>
                <w:color w:val="auto"/>
                <w:highlight w:val="none"/>
                <w:lang w:val="zh-CN"/>
              </w:rPr>
            </w:pPr>
            <w:r>
              <w:rPr>
                <w:rFonts w:ascii="宋体;SimSun" w:hAnsi="宋体;SimSun" w:cs="宋体;SimSun"/>
                <w:bCs/>
                <w:color w:val="auto"/>
                <w:highlight w:val="none"/>
                <w:lang w:val="zh-CN"/>
              </w:rPr>
              <w:t xml:space="preserve">±15%</w:t>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1132"/>
              <w:jc w:val="both"/>
              <w:widowControl w:val="off"/>
              <w:rPr>
                <w:color w:val="auto"/>
                <w:highlight w:val="none"/>
              </w:rPr>
            </w:pPr>
            <w:r>
              <w:rPr>
                <w:rFonts w:ascii="宋体;SimSun" w:hAnsi="宋体;SimSun" w:cs="宋体;SimSun"/>
                <w:color w:val="auto"/>
                <w:highlight w:val="none"/>
              </w:rPr>
              <w:t xml:space="preserve">30NTU＜</w:t>
            </w:r>
            <w:r>
              <w:rPr>
                <w:rFonts w:ascii="宋体;SimSun" w:hAnsi="宋体;SimSun" w:cs="宋体;SimSun"/>
                <w:bCs/>
                <w:color w:val="auto"/>
                <w:highlight w:val="none"/>
                <w:lang w:val="zh-CN"/>
              </w:rPr>
              <w:t xml:space="preserve">浊度</w:t>
            </w:r>
            <w:r>
              <w:rPr>
                <w:rFonts w:ascii="宋体;SimSun" w:hAnsi="宋体;SimSun" w:cs="宋体;SimSun"/>
                <w:color w:val="auto"/>
                <w:highlight w:val="none"/>
              </w:rPr>
              <w:t xml:space="preserve">≤50NTU</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1132"/>
              <w:jc w:val="both"/>
              <w:widowControl w:val="off"/>
              <w:rPr>
                <w:rFonts w:ascii="宋体;SimSun" w:hAnsi="宋体;SimSun" w:cs="宋体;SimSun"/>
                <w:bCs/>
                <w:color w:val="auto"/>
                <w:highlight w:val="none"/>
                <w:lang w:val="zh-CN"/>
              </w:rPr>
            </w:pPr>
            <w:r>
              <w:rPr>
                <w:rFonts w:ascii="宋体;SimSun" w:hAnsi="宋体;SimSun" w:cs="宋体;SimSun"/>
                <w:bCs/>
                <w:color w:val="auto"/>
                <w:highlight w:val="none"/>
                <w:lang w:val="zh-CN"/>
              </w:rPr>
              <w:t xml:space="preserve">±30%</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50NTU＜浊度＜1000NTU</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132"/>
              <w:jc w:val="both"/>
              <w:widowControl w:val="off"/>
              <w:rPr>
                <w:rFonts w:ascii="宋体;SimSun" w:hAnsi="宋体;SimSun" w:cs="宋体;SimSun"/>
                <w:bCs/>
                <w:color w:val="auto"/>
                <w:highlight w:val="none"/>
                <w:lang w:val="zh-CN"/>
              </w:rPr>
            </w:pPr>
            <w:r>
              <w:rPr>
                <w:rFonts w:ascii="宋体;SimSun" w:hAnsi="宋体;SimSun" w:cs="宋体;SimSun"/>
                <w:bCs/>
                <w:color w:val="auto"/>
                <w:highlight w:val="none"/>
                <w:lang w:val="zh-CN"/>
              </w:rPr>
              <w:t xml:space="preserve">±10%</w:t>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1132"/>
              <w:jc w:val="both"/>
              <w:widowControl w:val="off"/>
              <w:rPr>
                <w:rFonts w:ascii="宋体;SimSun" w:hAnsi="宋体;SimSun" w:cs="宋体;SimSun"/>
                <w:color w:val="auto"/>
                <w:highlight w:val="none"/>
              </w:rPr>
            </w:pPr>
            <w:r>
              <w:rPr>
                <w:rFonts w:ascii="宋体;SimSun" w:hAnsi="宋体;SimSun" w:cs="宋体;SimSun"/>
                <w:color w:val="auto"/>
                <w:highlight w:val="none"/>
              </w:rPr>
              <w:t xml:space="preserve">50NTU＜浊度＜1000NTU</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1132"/>
              <w:jc w:val="both"/>
              <w:widowControl w:val="off"/>
              <w:rPr>
                <w:rFonts w:ascii="宋体;SimSun" w:hAnsi="宋体;SimSun" w:cs="宋体;SimSun"/>
                <w:bCs/>
                <w:color w:val="auto"/>
                <w:highlight w:val="none"/>
                <w:lang w:val="zh-CN"/>
              </w:rPr>
            </w:pPr>
            <w:r>
              <w:rPr>
                <w:rFonts w:ascii="宋体;SimSun" w:hAnsi="宋体;SimSun" w:cs="宋体;SimSun"/>
                <w:bCs/>
                <w:color w:val="auto"/>
                <w:highlight w:val="none"/>
                <w:lang w:val="zh-CN"/>
              </w:rPr>
              <w:t xml:space="preserve">±20%</w:t>
            </w:r>
            <w:r/>
          </w:p>
        </w:tc>
      </w:tr>
    </w:tbl>
    <w:p>
      <w:pPr>
        <w:jc w:val="left"/>
        <w:rPr>
          <w:rFonts w:ascii="宋体;SimSun" w:hAnsi="宋体;SimSun" w:eastAsia="宋体;SimSun" w:cs="宋体;SimSun"/>
          <w:b/>
          <w:color w:val="auto"/>
          <w:szCs w:val="21"/>
          <w:highlight w:val="none"/>
        </w:rPr>
      </w:pPr>
      <w:r>
        <w:rPr>
          <w:rFonts w:ascii="宋体;SimSun" w:hAnsi="宋体;SimSun" w:eastAsia="宋体;SimSun" w:cs="宋体;SimSun"/>
          <w:b/>
          <w:color w:val="auto"/>
          <w:szCs w:val="21"/>
          <w:highlight w:val="none"/>
        </w:rPr>
      </w:r>
      <w:r/>
    </w:p>
    <w:p>
      <w:pPr>
        <w:pStyle w:val="1131"/>
        <w:tabs>
          <w:tab w:val="clear" w:pos="0" w:leader="none"/>
        </w:tabs>
        <w:rPr>
          <w:rFonts w:ascii="宋体;SimSun" w:hAnsi="宋体;SimSun" w:cs="宋体;SimSun"/>
          <w:color w:val="auto"/>
          <w:highlight w:val="none"/>
        </w:rPr>
      </w:pPr>
      <w:r>
        <w:rPr>
          <w:rFonts w:ascii="宋体;SimSun" w:hAnsi="宋体;SimSun" w:cs="宋体;SimSun"/>
          <w:color w:val="auto"/>
          <w:highlight w:val="none"/>
        </w:rPr>
        <w:t xml:space="preserve">水质自动站运行考核表</w:t>
      </w:r>
      <w:r/>
    </w:p>
    <w:p>
      <w:pPr>
        <w:pStyle w:val="1129"/>
        <w:ind w:firstLine="480"/>
        <w:rPr>
          <w:color w:val="auto"/>
          <w:highlight w:val="none"/>
        </w:rPr>
      </w:pPr>
      <w:r>
        <w:rPr>
          <w:color w:val="auto"/>
          <w:highlight w:val="none"/>
        </w:rPr>
        <w:t xml:space="preserve">考核日期：</w:t>
      </w:r>
      <w:r/>
    </w:p>
    <w:tbl>
      <w:tblPr>
        <w:tblStyle w:val="1006"/>
        <w:tblW w:w="8408" w:type="dxa"/>
        <w:tblInd w:w="0" w:type="dxa"/>
        <w:tblLayout w:type="fixed"/>
        <w:tblCellMar>
          <w:left w:w="108" w:type="dxa"/>
          <w:top w:w="0" w:type="dxa"/>
          <w:right w:w="108" w:type="dxa"/>
          <w:bottom w:w="0" w:type="dxa"/>
        </w:tblCellMar>
        <w:tblLook w:val="04A0" w:firstRow="1" w:lastRow="0" w:firstColumn="1" w:lastColumn="0" w:noHBand="0" w:noVBand="1"/>
      </w:tblPr>
      <w:tblGrid>
        <w:gridCol w:w="1253"/>
        <w:gridCol w:w="471"/>
        <w:gridCol w:w="1200"/>
        <w:gridCol w:w="457"/>
        <w:gridCol w:w="4557"/>
        <w:gridCol w:w="470"/>
      </w:tblGrid>
      <w:tr>
        <w:trPr>
          <w:trHeight w:val="28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1132"/>
              <w:widowControl w:val="off"/>
              <w:rPr>
                <w:rFonts w:ascii="宋体;SimSun" w:hAnsi="宋体;SimSun" w:cs="宋体;SimSun"/>
                <w:b/>
                <w:bCs/>
                <w:color w:val="auto"/>
                <w:highlight w:val="none"/>
              </w:rPr>
            </w:pPr>
            <w:r>
              <w:rPr>
                <w:rFonts w:ascii="宋体;SimSun" w:hAnsi="宋体;SimSun" w:cs="宋体;SimSun"/>
                <w:b/>
                <w:bCs/>
                <w:color w:val="auto"/>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b/>
                <w:bCs/>
                <w:color w:val="auto"/>
                <w:highlight w:val="none"/>
              </w:rPr>
            </w:pPr>
            <w:r>
              <w:rPr>
                <w:rFonts w:ascii="宋体;SimSun" w:hAnsi="宋体;SimSun" w:cs="宋体;SimSun"/>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b/>
                <w:bCs/>
                <w:color w:val="auto"/>
                <w:highlight w:val="none"/>
              </w:rPr>
            </w:pPr>
            <w:r>
              <w:rPr>
                <w:rFonts w:ascii="宋体;SimSun" w:hAnsi="宋体;SimSun" w:cs="宋体;SimSun"/>
                <w:b/>
                <w:bCs/>
                <w:color w:val="auto"/>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b/>
                <w:bCs/>
                <w:color w:val="auto"/>
                <w:highlight w:val="none"/>
              </w:rPr>
            </w:pPr>
            <w:r>
              <w:rPr>
                <w:rFonts w:ascii="宋体;SimSun" w:hAnsi="宋体;SimSun" w:cs="宋体;SimSun"/>
                <w:b/>
                <w:bCs/>
                <w:color w:val="auto"/>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b/>
                <w:bCs/>
                <w:color w:val="auto"/>
                <w:highlight w:val="none"/>
              </w:rPr>
            </w:pPr>
            <w:r>
              <w:rPr>
                <w:rFonts w:ascii="宋体;SimSun" w:hAnsi="宋体;SimSun" w:cs="宋体;SimSun"/>
                <w:b/>
                <w:bCs/>
                <w:color w:val="auto"/>
                <w:highlight w:val="none"/>
              </w:rPr>
              <w:t xml:space="preserve">评分细则</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b/>
                <w:bCs/>
                <w:color w:val="auto"/>
                <w:highlight w:val="none"/>
              </w:rPr>
            </w:pPr>
            <w:r>
              <w:rPr>
                <w:rFonts w:ascii="宋体;SimSun" w:hAnsi="宋体;SimSun" w:cs="宋体;SimSun"/>
                <w:b/>
                <w:bCs/>
                <w:color w:val="auto"/>
                <w:highlight w:val="none"/>
              </w:rPr>
              <w:t xml:space="preserve">得分</w:t>
            </w:r>
            <w:r/>
          </w:p>
        </w:tc>
      </w:tr>
      <w:tr>
        <w:trPr>
          <w:trHeight w:val="576"/>
        </w:trPr>
        <w:tc>
          <w:tcPr>
            <w:tcBorders>
              <w:top w:val="single" w:color="000000" w:sz="4" w:space="0"/>
              <w:left w:val="single" w:color="000000" w:sz="4" w:space="0"/>
              <w:bottom w:val="single" w:color="000000" w:sz="4" w:space="0"/>
              <w:right w:val="single" w:color="000000" w:sz="4" w:space="0"/>
            </w:tcBorders>
            <w:tcW w:w="1253" w:type="dxa"/>
            <w:vAlign w:val="center"/>
            <w:vMerge w:val="restart"/>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一、站房及人员配备（10分）</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站房（外部机柜）</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清洁整齐，及时检查水、电、动环、视频等满足要求，保证系统仪器具有良好的运行环境；认真做好记录。</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576"/>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人员配备，驻站人员到岗率</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须符合招标文件要求，否则不得分。到岗率考核：运维人员企业微信考勤打卡，到岗率80%以下的，每低5%扣1分，扣完为止。</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576"/>
        </w:trPr>
        <w:tc>
          <w:tcPr>
            <w:tcBorders>
              <w:top w:val="single" w:color="000000" w:sz="4" w:space="0"/>
              <w:left w:val="single" w:color="000000" w:sz="4" w:space="0"/>
              <w:bottom w:val="single" w:color="000000" w:sz="4" w:space="0"/>
              <w:right w:val="single" w:color="000000" w:sz="4" w:space="0"/>
            </w:tcBorders>
            <w:tcW w:w="1253" w:type="dxa"/>
            <w:vAlign w:val="center"/>
            <w:vMerge w:val="restart"/>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二、运维单位日常运维情况（35分）</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平台日常运维数据审核</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按要求在平台中及时填报相关基础信息和运维情况，漏审每次扣0.2分。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576"/>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实时监控数据巡检情况</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color w:val="auto"/>
                <w:highlight w:val="none"/>
              </w:rPr>
            </w:pPr>
            <w:r>
              <w:rPr>
                <w:rFonts w:ascii="宋体;SimSun" w:hAnsi="宋体;SimSun" w:cs="宋体;SimSun"/>
                <w:color w:val="auto"/>
                <w:highlight w:val="none"/>
              </w:rPr>
              <w:t xml:space="preserve">必须安排专人每天上、下午对园区监控平台的数据进行巡视，并留有巡视记录，否则每次扣至少0.1分。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864"/>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现场台账建设情况</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没有台账的不得分。日常维护中应做好维护记录，运行维护记录清晰、完整，有相关人员签字，并近6个月之内的记录都在现场保存，不符合要求的酌情予以扣分。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576"/>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安全制度情况</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严格按所在企业的安全生产要求进行操作，不符合要求的酌情予以扣分。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576"/>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废液处置情况</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现场必须有固定的废液收集容器，并定期进行回收处置，并有处置记录，否则不得分。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1440"/>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现场巡检频次、设备维护保养情况</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7</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每隔7天巡视一遍，现场端自动监控设备维护、保养频次应符合规范要求。保证取水、配水、预处理系统正常，管理畅通；保证空压机、发电机、稳压机、纯水器（机）、UPS、视频、动环等正常运行；保证标准气体在有效期内。认真做好记录。检查时不符合要求的，一次扣0.5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864"/>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仪器维护</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定期清洗、更换试剂、易耗品，及时修复仪器故障并做好记录。</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576"/>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设备故障率</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自动监控设备故障时间超过12小时为1天，月平均自动监控设备故障累计天数≤3天为满分，每增加1天扣0.2分。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288"/>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故障响应情况</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color w:val="auto"/>
                <w:highlight w:val="none"/>
              </w:rPr>
            </w:pPr>
            <w:r>
              <w:rPr>
                <w:rFonts w:ascii="宋体;SimSun" w:hAnsi="宋体;SimSun" w:cs="宋体;SimSun"/>
                <w:color w:val="auto"/>
                <w:highlight w:val="none"/>
              </w:rPr>
              <w:t xml:space="preserve">需符合招标文件要求，2h响应，每超过时间的1天扣0.3分。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288"/>
        </w:trPr>
        <w:tc>
          <w:tcPr>
            <w:tcBorders>
              <w:top w:val="single" w:color="000000" w:sz="4" w:space="0"/>
              <w:left w:val="single" w:color="000000" w:sz="4" w:space="0"/>
              <w:bottom w:val="single" w:color="000000" w:sz="4" w:space="0"/>
              <w:right w:val="single" w:color="000000" w:sz="4" w:space="0"/>
            </w:tcBorders>
            <w:tcW w:w="1253" w:type="dxa"/>
            <w:vAlign w:val="center"/>
            <w:vMerge w:val="restart"/>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三、现场检查情况（10分）</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上墙制度执行情况</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按照上墙的运维规章制度操作，不符合规范每一项扣0.2分。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576"/>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试剂使用情况</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试剂必须按要求进行成分、有效期等标识，并在有效期内使用，如未按要求执行，发现一次扣0.5分。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576"/>
        </w:trPr>
        <w:tc>
          <w:tcPr>
            <w:tcBorders>
              <w:top w:val="single" w:color="000000" w:sz="4" w:space="0"/>
              <w:left w:val="single" w:color="000000" w:sz="4" w:space="0"/>
              <w:bottom w:val="single" w:color="000000" w:sz="4" w:space="0"/>
              <w:right w:val="single" w:color="000000" w:sz="4" w:space="0"/>
            </w:tcBorders>
            <w:tcW w:w="1253" w:type="dxa"/>
            <w:vAlign w:val="center"/>
            <w:vMerge w:val="restart"/>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四、质控情况（35分）</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14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监测站实际水样实验室比对</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7</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每个季度一次，认真做好记录，单项比对不合格扣2分，扣完为止</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864"/>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质控</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按照规范要求完成日质控、周质控、月质控。质控一项不合格扣0.5分，扣完为止。</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288"/>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16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有效数据获取率</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20</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数据有效率大于85%，得20分，每降低1%，扣2分，扣完为止。</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864"/>
        </w:trPr>
        <w:tc>
          <w:tcPr>
            <w:tcBorders>
              <w:top w:val="single" w:color="000000" w:sz="4" w:space="0"/>
              <w:left w:val="single" w:color="000000" w:sz="4" w:space="0"/>
              <w:bottom w:val="single" w:color="000000" w:sz="4" w:space="0"/>
              <w:right w:val="single" w:color="000000" w:sz="4" w:space="0"/>
            </w:tcBorders>
            <w:tcW w:w="1253" w:type="dxa"/>
            <w:vAlign w:val="center"/>
            <w:vMerge w:val="restart"/>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五、技术服务（10分）</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报告上报</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报告内容包括但不限于监测数据分析、数据质量评价、日常运维台账、针对监测数据提出的意见及改进措施建议等，成果报告于每月28日前上报业主。不按时送报及报告内容未达到要求的，每次扣5分。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r>
        <w:trPr>
          <w:trHeight w:val="576"/>
        </w:trPr>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甲方其他交办的事宜，执行效果满足甲方要求的得5分，其他情况酌情予以扣分。（5分）</w:t>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32"/>
              <w:widowControl w:val="off"/>
              <w:rPr>
                <w:rFonts w:ascii="宋体;SimSun" w:hAnsi="宋体;SimSun" w:cs="宋体;SimSun"/>
                <w:color w:val="auto"/>
                <w:highlight w:val="none"/>
              </w:rPr>
            </w:pPr>
            <w:r>
              <w:rPr>
                <w:rFonts w:ascii="宋体;SimSun" w:hAnsi="宋体;SimSun" w:cs="宋体;SimSun"/>
                <w:color w:val="auto"/>
                <w:highlight w:val="none"/>
              </w:rPr>
              <w:t xml:space="preserve">　</w:t>
            </w:r>
            <w:r/>
          </w:p>
        </w:tc>
      </w:tr>
    </w:tbl>
    <w:p>
      <w:pPr>
        <w:ind w:firstLine="24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r>
      <w:r/>
    </w:p>
    <w:p>
      <w:pPr>
        <w:pStyle w:val="1129"/>
        <w:ind w:firstLine="0"/>
        <w:rPr>
          <w:color w:val="auto"/>
          <w:highlight w:val="none"/>
        </w:rPr>
      </w:pPr>
      <w:r>
        <w:rPr>
          <w:rFonts w:ascii="宋体;SimSun" w:hAnsi="宋体;SimSun" w:cs="宋体;SimSun"/>
          <w:color w:val="auto"/>
          <w:highlight w:val="none"/>
        </w:rPr>
        <w:t xml:space="preserve">服务商公司名称（盖章）： 考核方单位名称（盖章）：</w:t>
      </w:r>
      <w:r/>
    </w:p>
    <w:p>
      <w:pPr>
        <w:pStyle w:val="1129"/>
        <w:ind w:firstLine="480"/>
        <w:rPr>
          <w:rFonts w:ascii="宋体;SimSun" w:hAnsi="宋体;SimSun" w:cs="宋体;SimSun"/>
          <w:color w:val="auto"/>
          <w:highlight w:val="none"/>
        </w:rPr>
      </w:pPr>
      <w:r>
        <w:rPr>
          <w:rFonts w:ascii="宋体;SimSun" w:hAnsi="宋体;SimSun" w:cs="宋体;SimSun"/>
          <w:color w:val="auto"/>
          <w:highlight w:val="none"/>
        </w:rPr>
        <w:t xml:space="preserve">经办人： 经办人：</w:t>
      </w:r>
      <w:r/>
    </w:p>
    <w:p>
      <w:pPr>
        <w:pStyle w:val="1129"/>
        <w:ind w:firstLine="480"/>
        <w:rPr>
          <w:rFonts w:ascii="宋体;SimSun" w:hAnsi="宋体;SimSun" w:cs="宋体;SimSun"/>
          <w:color w:val="auto"/>
          <w:highlight w:val="none"/>
        </w:rPr>
        <w:sectPr>
          <w:footerReference w:type="default" r:id="rId17"/>
          <w:footnotePr/>
          <w:endnotePr/>
          <w:type w:val="nextPage"/>
          <w:pgSz w:w="11906" w:h="16838" w:orient="portrait"/>
          <w:pgMar w:top="1440" w:right="1800" w:bottom="1440" w:left="1800" w:header="0" w:footer="992" w:gutter="0"/>
          <w:cols w:num="1" w:sep="0" w:space="720" w:equalWidth="1"/>
          <w:docGrid w:linePitch="360"/>
        </w:sectPr>
      </w:pPr>
      <w:r>
        <w:rPr>
          <w:rFonts w:ascii="宋体;SimSun" w:hAnsi="宋体;SimSun" w:cs="宋体;SimSun"/>
          <w:color w:val="auto"/>
          <w:highlight w:val="none"/>
        </w:rPr>
        <w:t xml:space="preserve">备注：该表为最终季度考核用，考核情况按“优”“良”“中”“差”四个等级来评价，考核90分以上（含90分）为“优”，考核80-90分（含80分）为“良”，考核70-80分（含70分）为“中”，考核低于70分的即为“差”。</w:t>
      </w:r>
      <w:r/>
    </w:p>
    <w:p>
      <w:pPr>
        <w:numPr>
          <w:ilvl w:val="0"/>
          <w:numId w:val="3"/>
        </w:numPr>
        <w:ind w:left="420"/>
        <w:spacing w:line="360" w:lineRule="auto"/>
        <w:rPr>
          <w:rFonts w:ascii="宋体;SimSun" w:hAnsi="宋体;SimSun" w:eastAsia="宋体;SimSun" w:cs="宋体;SimSun"/>
          <w:b/>
          <w:bCs/>
          <w:color w:val="auto"/>
          <w:sz w:val="24"/>
          <w:szCs w:val="24"/>
          <w:highlight w:val="none"/>
        </w:rPr>
        <w:outlineLvl w:val="1"/>
      </w:pPr>
      <w:r>
        <w:rPr>
          <w:rFonts w:ascii="宋体;SimSun" w:hAnsi="宋体;SimSun" w:eastAsia="宋体;SimSun" w:cs="宋体;SimSun"/>
          <w:b/>
          <w:bCs/>
          <w:color w:val="auto"/>
          <w:sz w:val="24"/>
          <w:szCs w:val="24"/>
          <w:highlight w:val="none"/>
        </w:rPr>
        <w:t xml:space="preserve">网络及云服务</w:t>
      </w:r>
      <w:r/>
    </w:p>
    <w:p>
      <w:pPr>
        <w:ind w:left="420"/>
        <w:spacing w:line="360" w:lineRule="auto"/>
        <w:rPr>
          <w:color w:val="auto"/>
          <w:highlight w:val="none"/>
        </w:rPr>
      </w:pPr>
      <w:r>
        <w:rPr>
          <w:color w:val="auto"/>
          <w:highlight w:val="none"/>
        </w:rPr>
        <w:t xml:space="preserve">本项目需要建设数据专线和网络管道，并且租用连云港市政务云7台云主机及安全防护一套。网络及云服务需求清单如下：</w:t>
      </w:r>
      <w:r/>
    </w:p>
    <w:tbl>
      <w:tblPr>
        <w:tblStyle w:val="1006"/>
        <w:tblW w:w="4950" w:type="pct"/>
        <w:tblInd w:w="-113" w:type="dxa"/>
        <w:tblLayout w:type="fixed"/>
        <w:tblCellMar>
          <w:left w:w="108" w:type="dxa"/>
          <w:top w:w="0" w:type="dxa"/>
          <w:right w:w="108" w:type="dxa"/>
          <w:bottom w:w="0" w:type="dxa"/>
        </w:tblCellMar>
        <w:tblLook w:val="04A0" w:firstRow="1" w:lastRow="0" w:firstColumn="1" w:lastColumn="0" w:noHBand="0" w:noVBand="1"/>
      </w:tblPr>
      <w:tblGrid>
        <w:gridCol w:w="1391"/>
        <w:gridCol w:w="3999"/>
        <w:gridCol w:w="5851"/>
        <w:gridCol w:w="1396"/>
        <w:gridCol w:w="1395"/>
      </w:tblGrid>
      <w:tr>
        <w:trPr>
          <w:trHeight w:val="285"/>
        </w:trPr>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单位</w:t>
            </w:r>
            <w:r/>
          </w:p>
        </w:tc>
      </w:tr>
      <w:tr>
        <w:trPr>
          <w:trHeight w:val="285"/>
        </w:trPr>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数据库服务器*1台</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CPU:≥32Core，内存:≥64GB，系统盘：≥100GB；硬盘: ≥4*1024GB</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年</w:t>
            </w:r>
            <w:r/>
          </w:p>
        </w:tc>
      </w:tr>
      <w:tr>
        <w:trPr>
          <w:trHeight w:val="285"/>
        </w:trPr>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GIS服务器*1台</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CPU:≥64Core，内存:≥128GB，系统盘：≥100GB；硬盘: ≥2*1024GB</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年</w:t>
            </w:r>
            <w:r/>
          </w:p>
        </w:tc>
      </w:tr>
      <w:tr>
        <w:trPr>
          <w:trHeight w:val="285"/>
        </w:trPr>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应用服务器*4台</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CPU:≥32Core，内存:≥64GB，系统盘：≥100GB；硬盘: ≥2*1024GB</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年</w:t>
            </w:r>
            <w:r/>
          </w:p>
        </w:tc>
      </w:tr>
      <w:tr>
        <w:trPr>
          <w:trHeight w:val="285"/>
        </w:trPr>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应用服务器*1台</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CPU:≥8Core，内存:≥16GB，系统盘：≥100GB；硬盘: ≥4*1024GB</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年</w:t>
            </w:r>
            <w:r/>
          </w:p>
        </w:tc>
      </w:tr>
      <w:tr>
        <w:trPr>
          <w:trHeight w:val="285"/>
        </w:trPr>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云网络安全防护*1套</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网络安全防护</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年</w:t>
            </w:r>
            <w:r/>
          </w:p>
        </w:tc>
      </w:tr>
      <w:tr>
        <w:trPr>
          <w:trHeight w:val="285"/>
        </w:trPr>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公网带宽*1条</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带宽：100M</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年</w:t>
            </w:r>
            <w:r/>
          </w:p>
        </w:tc>
      </w:tr>
      <w:tr>
        <w:trPr>
          <w:trHeight w:val="1266"/>
        </w:trPr>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网闸</w:t>
            </w:r>
            <w:r/>
          </w:p>
        </w:tc>
        <w:tc>
          <w:tcPr>
            <w:tcBorders>
              <w:top w:val="single" w:color="000000" w:sz="4" w:space="0"/>
              <w:left w:val="single" w:color="000000" w:sz="4" w:space="0"/>
              <w:bottom w:val="single" w:color="000000" w:sz="4" w:space="0"/>
              <w:right w:val="single" w:color="000000" w:sz="4" w:space="0"/>
            </w:tcBorders>
            <w:tcW w:w="5762" w:type="dxa"/>
            <w:textDirection w:val="lrTb"/>
            <w:noWrap w:val="false"/>
          </w:tcPr>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满足国产化需求，标准机架式，2U，冗余电源，采用2+1系统架构，即内网单元+外网单元+专用隔离硬件，内外网分别配置≥6个千兆电口、2个USB接口，1个串口。网络吞吐量≥1G，最大并发连接数≥20万，内外网分别配置≥8G内存、≥128G SSD。默认支持跨域访问（邮件、网页、文件、数据库、工业应用等模块）、视频交换、数据库同步、文件同步等功能。含三年原厂软件升级和硬件维保服务。</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产品应具备完善的安全审计功能，能够支持以下内容，审计数据生成、安全审计分析、用户身份关联、审计记录管理、限制审计记录访问、防止审计数据丢失等。</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产品应具备完善的标识和鉴别功能，支持敏感标记、安全属性定义、属性初始化、属性修改、属性查询、鉴别数据初始化、鉴别时机、多鉴别机制、鉴别失败处理、抗重放、受保护的鉴别反馈、口令强度等。</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等保测评</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三级等保</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数据专线*150条</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20m数据专线。</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年</w:t>
            </w:r>
            <w:r/>
          </w:p>
        </w:tc>
      </w:tr>
      <w:tr>
        <w:trPr>
          <w:trHeight w:val="285"/>
        </w:trPr>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管道建设</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rPr>
                <w:color w:val="auto"/>
                <w:highlight w:val="none"/>
              </w:rPr>
            </w:pPr>
            <w:r>
              <w:rPr>
                <w:rFonts w:ascii="宋体;SimSun" w:hAnsi="宋体;SimSun" w:eastAsia="宋体;SimSun" w:cs="宋体;SimSun"/>
                <w:color w:val="auto"/>
                <w:sz w:val="24"/>
                <w:szCs w:val="24"/>
                <w:highlight w:val="none"/>
              </w:rPr>
              <w:t xml:space="preserve">新建通信分支管道全长约6.9km，采用 Φ110mm CPVC/PE 通信管材，管孔数量按分支 2 孔配置；管顶埋深车行道下不小于 1.2m，人行道下不小于 0.8m；按不大于 120m 间距设置标准通信人孔及手孔，工程满足运营商通信管道建设及验收标准。</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w:t>
            </w:r>
            <w:r/>
          </w:p>
        </w:tc>
        <w:tc>
          <w:tcPr>
            <w:tcBorders>
              <w:top w:val="single" w:color="000000" w:sz="4" w:space="0"/>
              <w:bottom w:val="single" w:color="000000" w:sz="4" w:space="0"/>
              <w:right w:val="single" w:color="000000" w:sz="4" w:space="0"/>
            </w:tcBorders>
            <w:tcW w:w="1374"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项</w:t>
            </w:r>
            <w:r/>
          </w:p>
        </w:tc>
      </w:tr>
    </w:tbl>
    <w:p>
      <w:pPr>
        <w:rPr>
          <w:rFonts w:ascii="宋体;SimSun" w:hAnsi="宋体;SimSun" w:eastAsia="宋体;SimSun" w:cs="宋体;SimSun"/>
          <w:color w:val="auto"/>
          <w:szCs w:val="24"/>
          <w:highlight w:val="none"/>
        </w:rPr>
      </w:pPr>
      <w:r>
        <w:rPr>
          <w:rFonts w:ascii="宋体;SimSun" w:hAnsi="宋体;SimSun" w:eastAsia="宋体;SimSun" w:cs="宋体;SimSun"/>
          <w:color w:val="auto"/>
          <w:szCs w:val="24"/>
          <w:highlight w:val="none"/>
        </w:rPr>
      </w:r>
      <w:r/>
    </w:p>
    <w:p>
      <w:pPr>
        <w:spacing w:after="120"/>
        <w:rPr>
          <w:rFonts w:ascii="宋体;SimSun" w:hAnsi="宋体;SimSun" w:eastAsia="宋体;SimSun" w:cs="宋体;SimSun"/>
          <w:color w:val="auto"/>
          <w:szCs w:val="20"/>
          <w:highlight w:val="none"/>
        </w:rPr>
      </w:pPr>
      <w:r>
        <w:rPr>
          <w:rFonts w:ascii="宋体;SimSun" w:hAnsi="宋体;SimSun" w:eastAsia="宋体;SimSun" w:cs="宋体;SimSun"/>
          <w:color w:val="auto"/>
          <w:szCs w:val="20"/>
          <w:highlight w:val="none"/>
        </w:rPr>
      </w:r>
      <w:r/>
    </w:p>
    <w:p>
      <w:pPr>
        <w:numPr>
          <w:ilvl w:val="0"/>
          <w:numId w:val="3"/>
        </w:numPr>
        <w:ind w:left="420"/>
        <w:spacing w:line="360" w:lineRule="auto"/>
        <w:rPr>
          <w:rFonts w:ascii="宋体;SimSun" w:hAnsi="宋体;SimSun" w:eastAsia="宋体;SimSun" w:cs="宋体;SimSun"/>
          <w:b/>
          <w:bCs/>
          <w:color w:val="auto"/>
          <w:sz w:val="24"/>
          <w:szCs w:val="24"/>
          <w:highlight w:val="none"/>
        </w:rPr>
        <w:outlineLvl w:val="1"/>
      </w:pPr>
      <w:r>
        <w:rPr>
          <w:rFonts w:ascii="宋体;SimSun" w:hAnsi="宋体;SimSun" w:eastAsia="宋体;SimSun" w:cs="宋体;SimSun"/>
          <w:b/>
          <w:bCs/>
          <w:color w:val="auto"/>
          <w:sz w:val="24"/>
          <w:szCs w:val="24"/>
          <w:highlight w:val="none"/>
        </w:rPr>
        <w:t xml:space="preserve">运营服务（三年）</w:t>
      </w:r>
      <w:r/>
    </w:p>
    <w:p>
      <w:pPr>
        <w:ind w:firstLine="42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本项目需要提供一体化智慧平台的运维管理服务，根据国家、省、市对化工园区的建设与管理标准及要求，对一体化智慧平台进行必要的运营管理服务，形成一个互联互通、动态管理、责任落实、创新发展的监管工作新格局。</w:t>
      </w:r>
      <w:r/>
    </w:p>
    <w:p>
      <w:pPr>
        <w:ind w:firstLine="420"/>
        <w:spacing w:line="360" w:lineRule="auto"/>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（一）团队人员</w:t>
      </w:r>
      <w:r/>
    </w:p>
    <w:p>
      <w:pPr>
        <w:ind w:firstLine="560"/>
        <w:spacing w:line="500" w:lineRule="exact"/>
        <w:rPr>
          <w:color w:val="auto"/>
          <w:highlight w:val="none"/>
        </w:rPr>
      </w:pPr>
      <w:r>
        <w:rPr>
          <w:rFonts w:ascii="宋体;SimSun" w:hAnsi="宋体;SimSun" w:eastAsia="宋体;SimSun" w:cs="宋体;SimSun"/>
          <w:color w:val="auto"/>
          <w:sz w:val="24"/>
          <w:szCs w:val="24"/>
          <w:highlight w:val="none"/>
          <w:lang w:val="zh-CN"/>
        </w:rPr>
        <w:t xml:space="preserve">提供</w:t>
      </w:r>
      <w:r>
        <w:rPr>
          <w:rFonts w:ascii="宋体;SimSun" w:hAnsi="宋体;SimSun" w:eastAsia="宋体;SimSun" w:cs="宋体;SimSun"/>
          <w:color w:val="auto"/>
          <w:sz w:val="24"/>
          <w:szCs w:val="24"/>
          <w:highlight w:val="none"/>
        </w:rPr>
        <w:t xml:space="preserve">15个人的运营团队（包含驻场服务人员9人、远程支撑人员6人</w:t>
      </w:r>
      <w:r>
        <w:rPr>
          <w:rFonts w:ascii="宋体;SimSun" w:hAnsi="宋体;SimSun" w:eastAsia="宋体;SimSun" w:cs="宋体;SimSun"/>
          <w:color w:val="auto"/>
          <w:sz w:val="24"/>
          <w:szCs w:val="24"/>
          <w:highlight w:val="none"/>
          <w:lang w:val="zh-CN"/>
        </w:rPr>
        <w:t xml:space="preserve">），</w:t>
      </w:r>
      <w:r>
        <w:rPr>
          <w:rFonts w:ascii="宋体;SimSun" w:hAnsi="宋体;SimSun" w:eastAsia="宋体;SimSun" w:cs="宋体;SimSun"/>
          <w:color w:val="auto"/>
          <w:sz w:val="24"/>
          <w:szCs w:val="24"/>
          <w:highlight w:val="none"/>
        </w:rPr>
        <w:t xml:space="preserve">其中运营经理</w:t>
      </w:r>
      <w:r>
        <w:rPr>
          <w:rFonts w:ascii="宋体;SimSun" w:hAnsi="宋体;SimSun" w:eastAsia="宋体;SimSun" w:cs="宋体;SimSun"/>
          <w:color w:val="auto"/>
          <w:sz w:val="24"/>
          <w:szCs w:val="24"/>
          <w:highlight w:val="none"/>
          <w:lang w:val="zh-CN"/>
        </w:rPr>
        <w:t xml:space="preserve">1名，技术</w:t>
      </w:r>
      <w:r>
        <w:rPr>
          <w:rFonts w:ascii="宋体;SimSun" w:hAnsi="宋体;SimSun" w:eastAsia="宋体;SimSun" w:cs="宋体;SimSun"/>
          <w:color w:val="auto"/>
          <w:sz w:val="24"/>
          <w:szCs w:val="24"/>
          <w:highlight w:val="none"/>
        </w:rPr>
        <w:t xml:space="preserve">人员2</w:t>
      </w:r>
      <w:r>
        <w:rPr>
          <w:rFonts w:ascii="宋体;SimSun" w:hAnsi="宋体;SimSun" w:eastAsia="宋体;SimSun" w:cs="宋体;SimSun"/>
          <w:color w:val="auto"/>
          <w:sz w:val="24"/>
          <w:szCs w:val="24"/>
          <w:highlight w:val="none"/>
          <w:lang w:val="zh-CN"/>
        </w:rPr>
        <w:t xml:space="preserve">名</w:t>
      </w:r>
      <w:r>
        <w:rPr>
          <w:rFonts w:ascii="宋体;SimSun" w:hAnsi="宋体;SimSun" w:eastAsia="宋体;SimSun" w:cs="宋体;SimSun"/>
          <w:color w:val="auto"/>
          <w:sz w:val="24"/>
          <w:szCs w:val="24"/>
          <w:highlight w:val="none"/>
        </w:rPr>
        <w:t xml:space="preserve">，指挥中心值班值守人员6</w:t>
      </w:r>
      <w:r>
        <w:rPr>
          <w:rFonts w:ascii="宋体;SimSun" w:hAnsi="宋体;SimSun" w:eastAsia="宋体;SimSun" w:cs="宋体;SimSun"/>
          <w:color w:val="auto"/>
          <w:sz w:val="24"/>
          <w:szCs w:val="24"/>
          <w:highlight w:val="none"/>
          <w:lang w:val="zh-CN"/>
        </w:rPr>
        <w:t xml:space="preserve">名，</w:t>
      </w:r>
      <w:r>
        <w:rPr>
          <w:rFonts w:ascii="宋体;SimSun" w:hAnsi="宋体;SimSun" w:eastAsia="宋体;SimSun" w:cs="宋体;SimSun"/>
          <w:color w:val="auto"/>
          <w:sz w:val="24"/>
          <w:szCs w:val="24"/>
          <w:highlight w:val="none"/>
        </w:rPr>
        <w:t xml:space="preserve">以及6名远程技术支撑人员。</w:t>
      </w:r>
      <w:r>
        <w:rPr>
          <w:rFonts w:ascii="宋体;SimSun" w:hAnsi="宋体;SimSun" w:eastAsia="宋体;SimSun" w:cs="宋体;SimSun"/>
          <w:color w:val="auto"/>
          <w:sz w:val="24"/>
          <w:szCs w:val="24"/>
          <w:highlight w:val="none"/>
          <w:lang w:val="zh-CN"/>
        </w:rPr>
        <w:t xml:space="preserve">驻场人员</w:t>
      </w:r>
      <w:r>
        <w:rPr>
          <w:rFonts w:ascii="宋体;SimSun" w:hAnsi="宋体;SimSun" w:eastAsia="宋体;SimSun" w:cs="宋体;SimSun"/>
          <w:color w:val="auto"/>
          <w:sz w:val="24"/>
          <w:szCs w:val="24"/>
          <w:highlight w:val="none"/>
        </w:rPr>
        <w:t xml:space="preserve">和技术人员</w:t>
      </w:r>
      <w:r>
        <w:rPr>
          <w:rFonts w:ascii="宋体;SimSun" w:hAnsi="宋体;SimSun" w:eastAsia="宋体;SimSun" w:cs="宋体;SimSun"/>
          <w:color w:val="auto"/>
          <w:sz w:val="24"/>
          <w:szCs w:val="24"/>
          <w:highlight w:val="none"/>
          <w:lang w:val="zh-CN"/>
        </w:rPr>
        <w:t xml:space="preserve">至少应具备安全工程、计算机、软件、环境工程、化学化工类专业等</w:t>
      </w:r>
      <w:r>
        <w:rPr>
          <w:rFonts w:ascii="宋体;SimSun" w:hAnsi="宋体;SimSun" w:eastAsia="宋体;SimSun" w:cs="宋体;SimSun"/>
          <w:color w:val="auto"/>
          <w:sz w:val="24"/>
          <w:szCs w:val="24"/>
          <w:highlight w:val="none"/>
        </w:rPr>
        <w:t xml:space="preserve">本科</w:t>
      </w:r>
      <w:r>
        <w:rPr>
          <w:rFonts w:ascii="宋体;SimSun" w:hAnsi="宋体;SimSun" w:eastAsia="宋体;SimSun" w:cs="宋体;SimSun"/>
          <w:color w:val="auto"/>
          <w:sz w:val="24"/>
          <w:szCs w:val="24"/>
          <w:highlight w:val="none"/>
          <w:lang w:val="zh-CN"/>
        </w:rPr>
        <w:t xml:space="preserve">及以上学历，团队人员在园区常驻，采取7×24小时轮班在岗值守；</w:t>
      </w:r>
      <w:r>
        <w:rPr>
          <w:rFonts w:ascii="宋体;SimSun" w:hAnsi="宋体;SimSun" w:eastAsia="宋体;SimSun" w:cs="宋体;SimSun"/>
          <w:color w:val="auto"/>
          <w:sz w:val="24"/>
          <w:szCs w:val="24"/>
          <w:highlight w:val="none"/>
        </w:rPr>
        <w:t xml:space="preserve">值班值守人员具备大专以上学历，</w:t>
      </w:r>
      <w:r>
        <w:rPr>
          <w:rFonts w:ascii="宋体;SimSun" w:hAnsi="宋体;SimSun" w:eastAsia="宋体;SimSun" w:cs="宋体;SimSun"/>
          <w:color w:val="auto"/>
          <w:sz w:val="24"/>
          <w:szCs w:val="24"/>
          <w:highlight w:val="none"/>
          <w:lang w:val="zh-CN"/>
        </w:rPr>
        <w:t xml:space="preserve">团队人员在园区常驻，采取7×24小时轮班在岗值守。</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①驻现场运营经理：1人。</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岗位职责：</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（1）负责智慧园区平台运营的整体规划和管理，统筹运营工作计划，制定并完善园区运营的各项管理制度及流程；</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（2）协调各部门关系，促进运营团队内部和谐稳定，负责运营团队日常管理及服务工作；</w:t>
      </w:r>
      <w:r/>
    </w:p>
    <w:p>
      <w:pPr>
        <w:ind w:firstLine="560"/>
        <w:spacing w:line="500" w:lineRule="exact"/>
        <w:rPr>
          <w:color w:val="auto"/>
          <w:highlight w:val="none"/>
        </w:rPr>
      </w:pPr>
      <w:r>
        <w:rPr>
          <w:rFonts w:ascii="宋体;SimSun" w:hAnsi="宋体;SimSun" w:eastAsia="宋体;SimSun" w:cs="宋体;SimSun"/>
          <w:color w:val="auto"/>
          <w:sz w:val="24"/>
          <w:szCs w:val="24"/>
          <w:highlight w:val="none"/>
        </w:rPr>
        <w:t xml:space="preserve">（3）园区运营经理需要确保各项运营活动符合国家法律法规的要求，避免因违规操作而带来的法律风险和经营风险；</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（4）园区运营经理还需要对团队成员进行思想政治教育，提升员工的政治意识，确保员工在思想上与国家和企业的要求保持一致。</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②驻现场技术主管1人、信息安全主管1人，远程技术支撑人员6人。</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岗位职责：</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（1）负责化工园区智慧化平台运营和维护工作，确保平台的正常运行和数据的安全。</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（2）负责园区智慧化平台数据的统计汇总，资料填写。</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③指挥中心值班值守技术人员：6人。</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岗位职责：</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（1）负责通过监控系统对园区、厂房或其他指定区域进行24小时实时监控，及时发现异常情况。</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（2）详细记录监控过程中发现的异常情况，包括时间、地点、事件描述等。按照规定流程及时向上级或相关部门报告重大事件或安全隐患。</w:t>
      </w:r>
      <w:r/>
    </w:p>
    <w:p>
      <w:pPr>
        <w:ind w:firstLine="5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（3）在发生突发事件（如火灾、盗窃、设备故障等）时，迅速启动应急预案，协助指挥中心或相关部门进行应急处理，提供实时监控信息支持。</w:t>
      </w:r>
      <w:r/>
    </w:p>
    <w:p>
      <w:pPr>
        <w:ind w:firstLine="420"/>
        <w:spacing w:line="360" w:lineRule="auto"/>
        <w:rPr>
          <w:color w:val="auto"/>
          <w:highlight w:val="none"/>
        </w:rPr>
      </w:pPr>
      <w:r>
        <w:rPr>
          <w:color w:val="auto"/>
          <w:highlight w:val="none"/>
        </w:rPr>
        <w:t xml:space="preserve">（二）服务需求清单</w:t>
      </w:r>
      <w:r/>
    </w:p>
    <w:tbl>
      <w:tblPr>
        <w:tblStyle w:val="1006"/>
        <w:tblW w:w="4950" w:type="pct"/>
        <w:tblInd w:w="-113" w:type="dxa"/>
        <w:tblLayout w:type="fixed"/>
        <w:tblCellMar>
          <w:left w:w="108" w:type="dxa"/>
          <w:top w:w="0" w:type="dxa"/>
          <w:right w:w="108" w:type="dxa"/>
          <w:bottom w:w="0" w:type="dxa"/>
        </w:tblCellMar>
        <w:tblLook w:val="04A0" w:firstRow="1" w:lastRow="0" w:firstColumn="1" w:lastColumn="0" w:noHBand="0" w:noVBand="1"/>
      </w:tblPr>
      <w:tblGrid>
        <w:gridCol w:w="790"/>
        <w:gridCol w:w="1085"/>
        <w:gridCol w:w="1958"/>
        <w:gridCol w:w="1658"/>
        <w:gridCol w:w="6955"/>
        <w:gridCol w:w="794"/>
        <w:gridCol w:w="793"/>
      </w:tblGrid>
      <w:tr>
        <w:trPr>
          <w:trHeight w:val="2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类目</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服务项</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类目</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 xml:space="preserve">单位</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驻场团队运维</w:t>
            </w:r>
            <w:r/>
          </w:p>
        </w:tc>
        <w:tc>
          <w:tcPr>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设备硬件运维</w:t>
            </w:r>
            <w:r/>
          </w:p>
        </w:tc>
        <w:tc>
          <w:tcPr>
            <w:tcBorders>
              <w:top w:val="single" w:color="000000" w:sz="4" w:space="0"/>
              <w:left w:val="single" w:color="000000" w:sz="4" w:space="0"/>
              <w:bottom w:val="single" w:color="000000" w:sz="4" w:space="0"/>
              <w:right w:val="single" w:color="000000" w:sz="4" w:space="0"/>
            </w:tcBorders>
            <w:tcW w:w="1633"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设备资产盘点</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实现对平台涉及交付中包含的硬件设备的采购、验货、退运、报废的全过程管理，并对过程中信息进行记录</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1、建立设备资产台账、标识管理、分类管理、采购、变更、报废等全过程管理，实现设备基础数据管理；</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2、建立资产档案管理，实施设备标准化管理，实现设备检修维护、备品件管理等功能，记录并跟踪设备的维修记录；</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3、定期监控重点资产设备的运转参数，监控重点设备的当前运转状态。</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设备运行保障</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对已经交接盘点通过之后的监测监控设备、生产辅助设备、园区共用设备等（不包含环境监测系统设备），进行维护，保障设备运行。</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设备巡检保养</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1.确保各个支持软件及服务的正常运行，确保平台运行连续性。</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2.平台故障异常的本地化调试处置以及第三方平台的异常反馈。</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3.内部设备的每日巡查，周期性维护和异常故障的处理。</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4.户外设备（不包含环境监测系统设备）的月度巡查，周期性维护和异常故障的处理。</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5.通讯网络本地异常的处理和第三方通讯公司反馈。</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6.疑难技术类故障的信息反馈，远程支持。</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设备运行监测</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借助智慧园区系统平台云服务器，及时、准确掌握设备的运行状态，尤其是重点、关键设备的运行状态，并定期进行运行检查，及时进行预防维修，保证设备的安全、可靠和高效地运行。</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81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设备主动检测</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通过设备管理监控体系，能够有效地对系统的运行设备运作情况和传输线路的性能、通断情况进行实时监控，及早发现问题，排除故障。并且，值守人员需对每个监控点的图像进行主动监控，确保监控图像正常。</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81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设备故障修复</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如遇资产设备（不包含环境监测系统设备）发生故障，无法正常使用，需及时联系设备维修厂家报修，对设备进行故障修复，并跟进故障修复全流程，完善资产报修记录和资产维修记录。故障维修完成之后，运维人员需亲自检查资产设备状态，确保其正常运行。</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平台系统运维</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权限配置</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根据不同职能及不同角色，在现有的系统上进行权限配置，如更改账号权限、数据调整等，保证各岗位人员各司其职、各尽其职。</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数据更新</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与园企人员保持良好沟通，并对园企信息进行校验核对、及时更新智慧园区平台数据信息，保障平台数据的准确性、及时性。</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系统巡查</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1.确保各个支持软件及服务的正常运行，确保平台运行连续性。</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2.平台故障异常的本地化调试处置以及第三方平台的异常反馈。</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3.内部设备的每周巡查，周期性维护和异常故障的处理。</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4.通讯网络本地异常的处理和第三方通讯公司反馈。</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5.疑难技术类故障的信息反馈，远程支持。</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系统培训</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为企业和园区的系统使用人员提供专业的系统操作培训，并提供系统帮助材料，包括但不限于系统操作手册、系统操作录屏等。同时，如后期系统进行更新升级，上线了新的功能，运营人员也需要及时对园企系统使用人员进行培训，并提供最新的系统操作手册及录屏，为园企人员使用系统提供坚实服务和保障。</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108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11</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档案维护</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平台对于档案管理力求做到一园一档、一企一档，不仅有园区以及每家企业基础信息档案，本平台重点关注的安监、环保等方面信息也分别入档，方便园区、企业以及相关监管部门及时查询相关信息。值守人员需及时更新维护园区和企业的档案信息，保证档案信息的准确性。</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81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数据资产管理</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资产管理主要实现对园区资产登记、变更、调拨、维护和查询等管理，运营人员需对资产生命周期各个环节进行动态跟踪，并定期对设备资产盘点，实现对固定资产价值的管理。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111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13</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应用巡检报修</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资产盘点登记完成之后，运营人员需对应用及数据资产进行定期/不定期巡检，制定巡检计划，包含巡检区域、检查点、检查项目、巡检时间、巡检周期等内容，然后按照计划对资产设备进行巡检，巡检完成之后生成巡检报告，对巡检结果进行登记和管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运营报告</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驻场负责人负责整个服务项目的组织协调团队管理工作，定期出具运营报告并向园区领导汇报平台运行状况。</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8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业务系统平台运营服务</w:t>
            </w:r>
            <w:r/>
          </w:p>
        </w:tc>
        <w:tc>
          <w:tcPr>
            <w:tcBorders>
              <w:top w:val="single" w:color="000000" w:sz="4" w:space="0"/>
              <w:left w:val="single" w:color="000000" w:sz="4" w:space="0"/>
              <w:bottom w:val="single" w:color="000000" w:sz="4" w:space="0"/>
              <w:right w:val="single" w:color="000000" w:sz="4" w:space="0"/>
            </w:tcBorders>
            <w:tcW w:w="1633"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安全生产</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报警闭环管理：实时监控储罐参数、可燃/有毒气体超限报警，系统自动推送信息至企业负责人、安全管理人员及园区安全监管人员；跟进企业处置反馈，超时未响应则联动安监部门督办，全程跟踪处置结果并进行闭环管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8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16</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2.日常巡检：巡查重大危险源、装卸区、危废仓库等重点区域的视频监控点在线状态与画面情况，发现异常立即反馈企业及监管部门进行及时处置。巡查监测点在线状态，中断即报备维修。</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17</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3.数据治理：确保企业双重预防、特殊作业等数据100%准时上传平台，优化校验规则。</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8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18</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应急值守</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1事故应急响应：事故发生时，通过智慧平台录入事故源信息，自动启动应急辅助决策模块；推送处置方案至指挥小组，动态汇报风向、监控数据及应急物资清单，全程记录并生成处置报告。</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19</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2.值守管理：督促企业安排每日应急值守人员，并及时上报系统；督促企业上传应急预案，管理演练数据。</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3.预警响应：发布极端天气预警，协调企业防范风险。</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21</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封闭园区</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1.车辆智能管控：协助岗亭值守人员填报入园预约信息，核验运单完整性；</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22</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2.封闭违章人员名单反馈：协助园区封闭管理人员对超速、违停等告警事件，定期管理调取车辆联系人。</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23</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3.危险化学品车辆准入：协助岗亭值守人员核验临时危化车辆纸质材料，关联企业盖章确认后放行。</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6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24</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4.门禁管理：协助封闭值守人员维护道闸、抓拍机等设备，保障白名单车辆无感通行；普通车辆/人员需企业确认并平台审核留痕。</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25</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5.违章处理：优化超速统计及黑名单机制，完善运单管理与三维车辆展示。</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26</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6.车辆黑白名单监管：通过白名单+黑名单"管理车辆，定期审核准入信息。</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27</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能耗监控</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1.能源事件处置：监控能源超限及监测掉线报警，自动推送企业负责人；跟进企业响应，超时未处理则联动能源部门督办，确保恢复常态。</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28</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2.数据监测巡查：巡查实时蒸汽管廊数据、燃气视频，月度上传巡检记录。</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29</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资讯管理</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1.指令传达：日常通知园区领导工作要求、政策文件至企业，确保信息同步。</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30</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2.信息维护：更新企业档案、党建动态、安全包保履职信息。</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31</w:t>
            </w:r>
            <w:r/>
          </w:p>
        </w:tc>
        <w:tc>
          <w:tcPr>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远程支持服务</w:t>
            </w:r>
            <w:r/>
          </w:p>
        </w:tc>
        <w:tc>
          <w:tcPr>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产品负责人</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数据挖掘与系统优化支撑</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远程挖掘分析平台运行数据，形成优化建议并跟踪落地，为平台迭代提供数据依据。</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32</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需求管理全流程支撑</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远程收集园区各方需求，经分析排序后转化为产品设计方案，同步给研发团队并解答疑问。</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33</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项目进度与上线支撑</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远程跟踪研发进度，协调解决卡点；参与上线前准备工作，远程支持上线及应急响应。</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34</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数据跟踪与业务反馈支撑</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上线后远程监控关键数据指标，结合业务反馈分析问题，为后续迭代提供方向。</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35</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培训与现场协作支撑</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制定线上培训方案并开展培训，远程协助现场人员工作，保障现场工作契合产品设计目标。</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36</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架构工程师</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非功能性需求管理</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聚焦项目需求阶段，远程负责理解和管理软件可维护性、性能、复用性、可靠性、有效性及可测试性等非功能性系统需求。</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37</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需求与设计审查</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远程审查客户和驻场人员提出的需求，同时确认开发团队提出的设计方案。</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6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38</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团队组织与文档协助</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远程组织开发团队成员，定义开发过程；协助需求分析师完成“用户需求说明书”“需求变更说明书”。</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39</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设备集成工程师</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网络与服务器硬件维护</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负责远程支撑网络硬件和服务器硬件的维护工作，保障硬件设备的稳定运行。</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40</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平台软件系统集成开发</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远程负责对平台软件系统涉及的需集成设备开展集成开发工作。</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41</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设备二次开发集成</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完成网络设备、门禁设备、监控系统设备等的二次开发集成工作。</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软件开发工程师</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全链条开发覆盖</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负责前端、后端和移动端开发，形成完整的开发支持链条，为软件系统提供全面的开发支撑。</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43</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全流程开发</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依据现场客户与驻场人员提出的功能需求，以及产品负责人、架构工程师编制的功能需求说明书，远程参与软件系统的设计、开发、测试等过程。</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44</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核心代码实现</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专注于工程中主要功能的代码实现，确保开发成果满足需求规格，为系统功能落地提供关键技术支持。</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45</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测试工程师</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需求理解与多维度测试执行</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理解产品的功能要求，以此为依据开展测试，检查软件是否存在缺陷，同时测试其稳定性、安全性、易操作性等性能，确保符合使用标准。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46</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编制测试相关文档</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制定相应的测试规范和测试用例，为测试工作提供明确指引和依据。</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47</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设备硬件集成服务</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设备扩展集成</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针对园区和企业现有的以及建设中的设备设施进行勘察分析，结合设备类型进行接入规划设计与集成接入开发。</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48</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系统开发服务</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系统整改优化</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结合检查督查的问题进行系统整改优化</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49</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应用数据对接</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结合运维期间新出企业平台的数据上传规范要求，并且提供详尽数据传输拓扑设计方案，完成企业平台数据对接至园区平台工作</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50</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应用数据上传</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结合运维期间新出的数据上传规范要求，并且提供详尽数据传输拓扑设计方案，完成数据上传上级监管平台工作。</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81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51</w:t>
            </w:r>
            <w:r/>
          </w:p>
        </w:tc>
        <w:tc>
          <w:tcPr>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运营支撑</w:t>
            </w:r>
            <w:r/>
          </w:p>
        </w:tc>
        <w:tc>
          <w:tcPr>
            <w:gridSpan w:val="2"/>
            <w:tcBorders>
              <w:top w:val="single" w:color="000000" w:sz="4" w:space="0"/>
              <w:left w:val="single" w:color="000000" w:sz="4" w:space="0"/>
              <w:bottom w:val="single" w:color="000000" w:sz="4" w:space="0"/>
              <w:right w:val="single" w:color="000000" w:sz="4" w:space="0"/>
            </w:tcBorders>
            <w:tcW w:w="356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接待汇报</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当面对园区领导、行业专家参观检查时，需做好对来访者的迎送、招待、交谈、讲解、汇报等工作。接待者需向来访者更加了解系统平台主要功能优势的同时，重点汇报展示园企信息化建设的成效，长久助力园区招商和发展。</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540"/>
        </w:trPr>
        <w:tc>
          <w:tcPr>
            <w:tcBorders>
              <w:top w:val="single" w:color="000000" w:sz="4" w:space="0"/>
              <w:left w:val="single" w:color="000000" w:sz="4" w:space="0"/>
              <w:bottom w:val="single" w:color="000000" w:sz="4" w:space="0"/>
              <w:right w:val="single" w:color="000000" w:sz="4" w:space="0"/>
            </w:tcBorders>
            <w:tcW w:w="778"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52</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61"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咨询解答</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从咨询内容上来区分，咨询可以分为系统平台的咨询和园区智慧化建设行业的咨询。</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111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6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1、针对系统平台相关的咨询，运营人员需进行及时并耐心的解答，帮助提问者更好更全面地了解系统平台的主要功能、平台优势及系统操作细节等，咨询者对系统平台提出了良好的优化建议，运营人员需及时记录，并与产研团队及时沟通，阐述需求，跟进后续需求优化结果。</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1110"/>
        </w:trPr>
        <w:tc>
          <w:tcPr>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6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2、针对园区智慧化建设行业知识的咨询，运营人员需定期对国家、地方以及园区的信息化平台建设要求文件，参与园区信息化项目的前期调研、评估、设计方案评审、技术论证等工作，协助园区给出公正、恰当、专业、权威的评价和建议。</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r>
      <w:tr>
        <w:trPr>
          <w:trHeight w:val="111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53</w:t>
            </w:r>
            <w:r/>
          </w:p>
        </w:tc>
        <w:tc>
          <w:tcPr>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支撑体系及管理</w:t>
            </w:r>
            <w:r/>
          </w:p>
        </w:tc>
        <w:tc>
          <w:tcPr>
            <w:gridSpan w:val="2"/>
            <w:tcBorders>
              <w:top w:val="single" w:color="000000" w:sz="4" w:space="0"/>
              <w:left w:val="single" w:color="000000" w:sz="4" w:space="0"/>
              <w:bottom w:val="single" w:color="000000" w:sz="4" w:space="0"/>
              <w:right w:val="single" w:color="000000" w:sz="4" w:space="0"/>
            </w:tcBorders>
            <w:tcW w:w="356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运行服务工单平台</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主要负责园区的软件、硬件日常的运营运维工作记录管理，登记日常的工作内容及日常平台优化需求，实现现场/远程/专家咨询服务工作成果的管理。对服务进行记录跟进。将工作内容项对应工单，以工时的形式进行换算，作为运维运营服务的具体衡量指标，确保整个项目处于可控状态。</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81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54</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6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资产管理平台</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color w:val="auto"/>
                <w:highlight w:val="none"/>
              </w:rPr>
            </w:pPr>
            <w:r>
              <w:rPr>
                <w:rFonts w:ascii="宋体;SimSun" w:hAnsi="宋体;SimSun" w:eastAsia="宋体;SimSun" w:cs="宋体;SimSun"/>
                <w:color w:val="auto"/>
                <w:sz w:val="22"/>
                <w:highlight w:val="none"/>
              </w:rPr>
              <w:t xml:space="preserve">主要是对智慧平台的软、硬件资产的日常登记管理，包括新增、报废、变更、调拨等内容管理，在此基础上，半年度周期进行设备资产盘点，实现园区对平台资产信息化管理。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r>
        <w:trPr>
          <w:trHeight w:val="8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55</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6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设备监测平台</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提供一套监管园区机房设备运行状态，园区业务系统运行状态，园区对接企业省市数据连接状态情况，实时监管园区机房、系统、接口传输等软硬件设备系统的运行状态情况。</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年</w:t>
            </w:r>
            <w:r/>
          </w:p>
        </w:tc>
      </w:tr>
    </w:tbl>
    <w:p>
      <w:pPr>
        <w:rPr>
          <w:color w:val="auto"/>
          <w:highlight w:val="none"/>
        </w:rPr>
        <w:sectPr>
          <w:footerReference w:type="default" r:id="rId18"/>
          <w:footnotePr/>
          <w:endnotePr/>
          <w:type w:val="nextPage"/>
          <w:pgSz w:w="16838" w:h="11906" w:orient="landscape"/>
          <w:pgMar w:top="1800" w:right="1440" w:bottom="1800" w:left="1440" w:header="0" w:footer="992" w:gutter="0"/>
          <w:cols w:num="1" w:sep="0" w:space="720" w:equalWidth="1"/>
          <w:docGrid w:linePitch="360"/>
        </w:sectPr>
      </w:pPr>
      <w:r>
        <w:rPr>
          <w:color w:val="auto"/>
          <w:highlight w:val="none"/>
        </w:rPr>
      </w:r>
      <w:r/>
    </w:p>
    <w:p>
      <w:pPr>
        <w:spacing w:line="500" w:lineRule="exact"/>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 xml:space="preserve">（三）考核细则</w:t>
      </w:r>
      <w:r/>
    </w:p>
    <w:p>
      <w:pPr>
        <w:ind w:firstLine="560"/>
        <w:spacing w:line="500" w:lineRule="exact"/>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 xml:space="preserve">为提高运营服务质量，根据项目需求制定本考核办法，供考核双方执行遵守。</w:t>
      </w:r>
      <w:r/>
    </w:p>
    <w:p>
      <w:pPr>
        <w:ind w:firstLine="560"/>
        <w:spacing w:line="500" w:lineRule="exact"/>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 xml:space="preserve">1.考核内容</w:t>
      </w:r>
      <w:r/>
    </w:p>
    <w:p>
      <w:pPr>
        <w:ind w:firstLine="560"/>
        <w:spacing w:line="500" w:lineRule="exact"/>
        <w:rPr>
          <w:color w:val="auto"/>
          <w:highlight w:val="none"/>
        </w:rPr>
      </w:pPr>
      <w:r>
        <w:rPr>
          <w:color w:val="auto"/>
          <w:highlight w:val="none"/>
        </w:rPr>
        <w:t xml:space="preserve">（1）人员配备齐全，年龄、学历等达到采购要求（优秀20分、一般14分、差5分）；</w:t>
      </w:r>
      <w:r/>
    </w:p>
    <w:p>
      <w:pPr>
        <w:ind w:firstLine="560"/>
        <w:spacing w:line="500" w:lineRule="exact"/>
        <w:rPr>
          <w:color w:val="auto"/>
          <w:highlight w:val="none"/>
        </w:rPr>
      </w:pPr>
      <w:r>
        <w:rPr>
          <w:color w:val="auto"/>
          <w:highlight w:val="none"/>
        </w:rPr>
        <w:t xml:space="preserve">（2）遵守值班制度、交接班制度及基本行为规范等（优秀20分、一般14分、差5分）；</w:t>
      </w:r>
      <w:r/>
    </w:p>
    <w:p>
      <w:pPr>
        <w:ind w:firstLine="560"/>
        <w:spacing w:line="500" w:lineRule="exact"/>
        <w:rPr>
          <w:color w:val="auto"/>
          <w:highlight w:val="none"/>
        </w:rPr>
      </w:pPr>
      <w:r>
        <w:rPr>
          <w:color w:val="auto"/>
          <w:highlight w:val="none"/>
        </w:rPr>
        <w:t xml:space="preserve">（3）提供的档案资料完整、准确，并由专人负责管理（优秀10分、一般7分、差3分）；</w:t>
      </w:r>
      <w:r/>
    </w:p>
    <w:p>
      <w:pPr>
        <w:ind w:firstLine="560"/>
        <w:spacing w:line="500" w:lineRule="exact"/>
        <w:rPr>
          <w:color w:val="auto"/>
          <w:highlight w:val="none"/>
        </w:rPr>
      </w:pPr>
      <w:r>
        <w:rPr>
          <w:color w:val="auto"/>
          <w:highlight w:val="none"/>
        </w:rPr>
        <w:t xml:space="preserve">（4）设备操作熟练度、设备基本维护及常见故障处置（优秀20分、一般14分、差5分）；</w:t>
      </w:r>
      <w:r/>
    </w:p>
    <w:p>
      <w:pPr>
        <w:ind w:firstLine="560"/>
        <w:spacing w:line="500" w:lineRule="exact"/>
        <w:rPr>
          <w:color w:val="auto"/>
          <w:highlight w:val="none"/>
        </w:rPr>
      </w:pPr>
      <w:r>
        <w:rPr>
          <w:color w:val="auto"/>
          <w:highlight w:val="none"/>
        </w:rPr>
        <w:t xml:space="preserve">（5）控制室的环境卫生干净、整洁（优秀10分、一般7分、差3分）；</w:t>
      </w:r>
      <w:r/>
    </w:p>
    <w:p>
      <w:pPr>
        <w:ind w:firstLine="560"/>
        <w:spacing w:line="500" w:lineRule="exact"/>
        <w:rPr>
          <w:color w:val="auto"/>
          <w:highlight w:val="none"/>
        </w:rPr>
      </w:pPr>
      <w:r>
        <w:rPr>
          <w:color w:val="auto"/>
          <w:highlight w:val="none"/>
        </w:rPr>
        <w:t xml:space="preserve">（6）服务期间未发生因工作失职造成的重大安全责任事故或隐瞒、瞒报安全责任事故（优秀10分、一般7分、差3分）；</w:t>
      </w:r>
      <w:r/>
    </w:p>
    <w:p>
      <w:pPr>
        <w:ind w:firstLine="560"/>
        <w:spacing w:line="500" w:lineRule="exact"/>
        <w:rPr>
          <w:color w:val="auto"/>
          <w:highlight w:val="none"/>
        </w:rPr>
      </w:pPr>
      <w:r>
        <w:rPr>
          <w:color w:val="auto"/>
          <w:highlight w:val="none"/>
        </w:rPr>
        <w:t xml:space="preserve">（7）服从甲方单位工作调度和安排（优秀10分、一般7分、差3分）；</w:t>
      </w:r>
      <w:r/>
    </w:p>
    <w:p>
      <w:pPr>
        <w:ind w:firstLine="560"/>
        <w:spacing w:line="500" w:lineRule="exact"/>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 xml:space="preserve">2.考核要求</w:t>
      </w:r>
      <w:r/>
    </w:p>
    <w:p>
      <w:pPr>
        <w:ind w:firstLine="560"/>
        <w:spacing w:line="500" w:lineRule="exact"/>
        <w:rPr>
          <w:color w:val="auto"/>
          <w:highlight w:val="none"/>
        </w:rPr>
      </w:pPr>
      <w:r>
        <w:rPr>
          <w:rFonts w:ascii="宋体;SimSun" w:hAnsi="宋体;SimSun" w:eastAsia="宋体;SimSun" w:cs="宋体;SimSun"/>
          <w:color w:val="auto"/>
          <w:sz w:val="28"/>
          <w:szCs w:val="28"/>
          <w:highlight w:val="none"/>
        </w:rPr>
        <w:t xml:space="preserve">（1）甲方每季度组织考核一次；</w:t>
      </w:r>
      <w:r/>
    </w:p>
    <w:p>
      <w:pPr>
        <w:ind w:firstLine="560"/>
        <w:spacing w:line="500" w:lineRule="exact"/>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 xml:space="preserve">（2）考核结果80分以上（含80分）为合格，低于80分为不合格；</w:t>
      </w:r>
      <w:r/>
    </w:p>
    <w:p>
      <w:pPr>
        <w:ind w:firstLine="560"/>
        <w:spacing w:line="500" w:lineRule="exact"/>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 xml:space="preserve">（3）在考核中出现差评项，每项扣除1000元，并针对出现的问题或不足之处进行限期整改；</w:t>
      </w:r>
      <w:r/>
    </w:p>
    <w:p>
      <w:pPr>
        <w:ind w:firstLine="560"/>
        <w:spacing w:line="500" w:lineRule="exact"/>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 xml:space="preserve">（4）现场负责人需24小时保持通讯畅通，若出现负责人联系不到，或电话15分钟未接情况，每次扣除100元，连续三次解除合同。</w:t>
      </w:r>
      <w:r>
        <w:rPr>
          <w:color w:val="auto"/>
          <w:highlight w:val="none"/>
        </w:rPr>
        <w:br w:type="page" w:clear="all"/>
      </w:r>
      <w:r/>
    </w:p>
    <w:p>
      <w:pPr>
        <w:ind w:firstLine="560"/>
        <w:spacing w:line="500" w:lineRule="exact"/>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 xml:space="preserve">三、商务条款</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★3.1成果文件要求</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平台建设完成后，中标人需无条件向采购人提交数据中台、智慧平台、数字孪生平台、大气溯源模型、地下水预警预测模型的平台建设源代码程序。</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★3.2服务期限要求</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双方确认，本项目总履行周期为180日历天，自合同生效之日起计算。</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★3.3付款方式</w:t>
      </w:r>
      <w:r/>
    </w:p>
    <w:p>
      <w:pPr>
        <w:ind w:firstLine="480"/>
        <w:spacing w:line="560" w:lineRule="exact"/>
        <w:rPr>
          <w:color w:val="auto"/>
          <w:highlight w:val="none"/>
        </w:rPr>
      </w:pPr>
      <w:r>
        <w:rPr>
          <w:color w:val="auto"/>
          <w:highlight w:val="none"/>
        </w:rPr>
        <w:t xml:space="preserve">合同生效之日起15日内甲方向乙方预付价款10％，乙方完成软硬件安装调试经甲方确认达到100%之日起15日内支付至合同价款的60%，后续运营期内每满一年支付合同价的10%，付完为止。</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★3.4 履约保证金</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乙方交纳合同总价 5% 作为本合同的履约保证金，乙方应当以支票、汇票、本票或者金融机构、担保机构出具的保函等非现金形式提交。</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3.5服务验收标准</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3.5.1. 验收依据</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3.5.1.1 本项目采购合同及其全部附件。</w:t>
      </w:r>
      <w:r/>
    </w:p>
    <w:p>
      <w:pPr>
        <w:ind w:firstLine="480"/>
        <w:spacing w:line="560" w:lineRule="exact"/>
        <w:rPr>
          <w:color w:val="auto"/>
          <w:highlight w:val="none"/>
        </w:rPr>
      </w:pPr>
      <w:r>
        <w:rPr>
          <w:rFonts w:ascii="宋体;SimSun" w:hAnsi="宋体;SimSun" w:eastAsia="宋体;SimSun" w:cs="宋体;SimSun"/>
          <w:color w:val="auto"/>
          <w:sz w:val="24"/>
          <w:szCs w:val="24"/>
          <w:highlight w:val="none"/>
        </w:rPr>
        <w:t xml:space="preserve">3.5.1.2 经采购人确认的招标文件、中标人的投标文件及澄清答疑文件。</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3.5.1.3 经双方确认的服务方案、工作计划、技术规范及质量标准。</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3.5.1.4 国家、行业及地方颁布的相关法律法规、强制性标准及规范。</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3.5.1.5 双方约定的其他书面文件。</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3.5.2. 验收前提条件</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服务提供方申请验收前，必须满足以下全部条件：</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3.5.2.1 已按照合同约定，完成全部服务内容或达到合同约定的阶段性里程碑。</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3.5.2.2 已提交完整、规范的验收申请报告及相关资料。</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3.5.2.3 服务期间发现的问题或缺陷已按约定完成整改。</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3.5.2.4 合同约定的其他前提条件已完成。</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3.5.3. 验收内容与标准</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3.5.3.1 交付成果质量，审核提交的各项成果物（如概念方案、深化设计方案、影片脚本等）的完整性、规范性、准确性、及时性。 成果物格式规范、内容完整、数据准确、逻辑清晰，提交时间符合合同约定。</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3.5.3.2 服务过程符合性检查服务过程中的关键活动是否按批准的计划、流程、标准执行。 服务过程记录齐全，关键节点执行到位，未出现擅自变更服务方案或违反操作规程的情形。</w:t>
      </w:r>
      <w:r/>
    </w:p>
    <w:p>
      <w:pPr>
        <w:ind w:firstLine="480"/>
        <w:spacing w:line="560" w:lineRule="exact"/>
        <w:rPr>
          <w:color w:val="auto"/>
          <w:highlight w:val="none"/>
        </w:rPr>
      </w:pPr>
      <w:r>
        <w:rPr>
          <w:rFonts w:ascii="宋体;SimSun" w:hAnsi="宋体;SimSun" w:eastAsia="宋体;SimSun" w:cs="宋体;SimSun"/>
          <w:color w:val="auto"/>
          <w:sz w:val="24"/>
          <w:szCs w:val="24"/>
          <w:highlight w:val="none"/>
        </w:rPr>
        <w:t xml:space="preserve">3.5.3.3 履约规范性检查项目团队人员稳定性、资质符合性；服务过程是否符合安全、保密、环保等规定；款项申请是否符合合同约定。主要人员未经同意不得擅自更换；无安全、泄密事故；无合规性投诉；付款依据充分。</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3.5.4. 验收程序</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3.5.4.1验收申请：服务提供方在满足第2条全部条件后，向采购人提交书面《验收申请表》及全套验收资料。</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3.5.4.2验收资料：资料应包括但不限于：验收申请报告、交付成果清单及实体、问题整改报告等。</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3.5.4.3组建验收小组：采购人负责组建验收小组，成员可包含采购人代表等人员。</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3.5.4.4实施验收：验收小组通过资料审查、现场查验、系统测试等进行核查与评价。</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3.5.4.5出具验收意见：验收小组根据检查结果形成《验收报告》，明确给出“验收合格”、“验收不合格”或“有条件验收”的结论，并详细说明理由。</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3.5.4.6问题整改与复验：对于“验收不合格”或“有条件验收”的项目，服务提供方应在约定期限内完成整改并申请复验。复验仍不合格的，按合同违约条款处理。</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3.5.4.7最终确认：验收合格后，双方在《验收报告》上签字盖章确认，作为服务费用最终结算的必要依据。</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3.5.5. 其他</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本验收标准未尽事宜，按照合同通用条款和专用条款的相关约定执行。</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3.6质保服务</w:t>
      </w:r>
      <w:r/>
    </w:p>
    <w:p>
      <w:pPr>
        <w:ind w:firstLine="480"/>
        <w:spacing w:line="560" w:lineRule="exact"/>
        <w:rPr>
          <w:color w:val="auto"/>
          <w:highlight w:val="none"/>
        </w:rPr>
      </w:pPr>
      <w:r>
        <w:rPr>
          <w:rFonts w:ascii="宋体;SimSun" w:hAnsi="宋体;SimSun" w:eastAsia="宋体;SimSun" w:cs="宋体;SimSun"/>
          <w:color w:val="auto"/>
          <w:sz w:val="24"/>
          <w:szCs w:val="24"/>
          <w:highlight w:val="none"/>
        </w:rPr>
        <w:t xml:space="preserve">★3.6.1环境监测预警系统相关设备质保4年，其他硬件设备质保期限一年，按照国家三包质量体系执行；软件系统质保一年。</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以下原因不在保修范围内：</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a.未经承包人同意发包人擅自对设备进行任何形式改装；</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b.未经承包人同意将设备从原安装地移至另外地点；</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c.因不可抗力（包括地震、台风、洪水、海啸、战争等）造成的设备损坏；</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3.7违约责任</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3.7.1.工期延误责任</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（2）逾期违约金计算</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若乙方未能在上述任一节点规定的日期前完成相应工作内容（因不可抗力或甲方原因导致的延期除外），每逾期一日，乙方应向甲方支付该节点对应建设内容合同金额的1‰（千分之一）作为违约金。</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（3）违约金上限</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针对上述工期延误，累计违约金总额不超过该节点对应建设内容合同金额的5%。</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3.7.2.质量与交付责任</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（1）建设内容合规性</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乙方交付的指挥中心装修、配套设备、环境监测设备及软件平台（含数据中台、智慧平台、数字孪生平台）必须符合国家相关标准及合同约定的技术参数。若验收不合格，乙方需无偿返工，由此造成的工期延误按第一条规定承担违约责任。</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3.7.3.运营与运维服务责任</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（1）服务期限与范围</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项目终验合格后，乙方需继续履行以下运营与运维义务：</w:t>
      </w:r>
      <w:r/>
    </w:p>
    <w:p>
      <w:pPr>
        <w:ind w:firstLine="480"/>
        <w:spacing w:line="560" w:lineRule="exact"/>
        <w:rPr>
          <w:color w:val="auto"/>
          <w:highlight w:val="none"/>
        </w:rPr>
      </w:pPr>
      <w:r>
        <w:rPr>
          <w:rFonts w:ascii="宋体;SimSun" w:hAnsi="宋体;SimSun" w:eastAsia="宋体;SimSun" w:cs="宋体;SimSun"/>
          <w:color w:val="auto"/>
          <w:sz w:val="24"/>
          <w:szCs w:val="24"/>
          <w:highlight w:val="none"/>
        </w:rPr>
        <w:t xml:space="preserve">环保监测设备运维：提供为期4年的运行维护服务，确保设备正常运行、数据准确采集、定期校准与保养，并符合国家环保监测相关技术规范。</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智慧平台运营：提供为期3年的平台运营服务，包括系统监控、功能优化、用户支持、数据管理及安全维护，确保平台稳定、高效运行。</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（2）服务不达标责任</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若乙方在运营或运维期间未能达到合同约定的考核标准，按运营服务或环境监测系统运维考核标准，进行相应的违约处罚。</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（3）累计违约金上限</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运营与运维服务期间的累计违约金总额不超过对应服务模块合同总金额的5%。</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3.7.4.甲方违约情形</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若因甲方未按约定提供施工场地、未及时确认需求或未按时支付款项导致项目延期，工期相应顺延，乙方不承担逾期违约责任。</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3.7.5.争议解决</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因履行本合同发生的争议，双方应友好协商解决；协商不成的，任何一方均有权向项目所在地人民法院提起诉讼。</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3.8 货币：本次采购文件所涉及货币币种均为人民币。</w:t>
      </w:r>
      <w:r/>
    </w:p>
    <w:p>
      <w:pPr>
        <w:ind w:firstLine="4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3.9 备品备件及耗材等要求：无。</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color w:val="auto"/>
          <w:highlight w:val="none"/>
        </w:rPr>
        <w:br w:type="page" w:clear="all"/>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pStyle w:val="996"/>
        <w:ind w:firstLine="420"/>
        <w:jc w:val="center"/>
        <w:keepLines w:val="0"/>
        <w:keepNext w:val="0"/>
        <w:spacing w:line="360" w:lineRule="auto"/>
        <w:rPr>
          <w:rFonts w:ascii="宋体;SimSun" w:hAnsi="宋体;SimSun" w:eastAsia="宋体;SimSun" w:cs="宋体;SimSun"/>
          <w:b w:val="0"/>
          <w:color w:val="auto"/>
          <w:highlight w:val="none"/>
        </w:rPr>
      </w:pPr>
      <w:r/>
      <w:bookmarkStart w:id="4" w:name="__RefHeading___Toc162361614"/>
      <w:r/>
      <w:bookmarkEnd w:id="4"/>
      <w:r>
        <w:rPr>
          <w:rFonts w:ascii="宋体;SimSun" w:hAnsi="宋体;SimSun" w:eastAsia="宋体;SimSun" w:cs="宋体;SimSun"/>
          <w:b w:val="0"/>
          <w:color w:val="auto"/>
          <w:highlight w:val="none"/>
        </w:rPr>
        <w:t xml:space="preserve">第五章 评标方法与评标标准</w:t>
      </w:r>
      <w:r/>
    </w:p>
    <w:p>
      <w:pPr>
        <w:ind w:firstLine="482"/>
        <w:jc w:val="left"/>
        <w:spacing w:line="500" w:lineRule="exact"/>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t xml:space="preserve">一、评标方法</w:t>
      </w:r>
      <w:r/>
    </w:p>
    <w:p>
      <w:pPr>
        <w:ind w:firstLine="480"/>
        <w:jc w:val="left"/>
        <w:spacing w:line="500" w:lineRule="exact"/>
        <w:rPr>
          <w:color w:val="auto"/>
          <w:sz w:val="24"/>
          <w:szCs w:val="28"/>
          <w:highlight w:val="none"/>
        </w:rPr>
      </w:pPr>
      <w:r>
        <w:rPr>
          <w:color w:val="auto"/>
          <w:sz w:val="24"/>
          <w:szCs w:val="28"/>
          <w:highlight w:val="none"/>
        </w:rPr>
        <w:t xml:space="preserve">综合评分法：评标结果按评审后得分由高到低顺序排列。得分相同的，按投标报价由低到高顺序排列。得分且投标报价相同的，名次并列。投标文件满足招标文件全部实质性要求，且按照评审因素的量化指标评审得分最高的投标人为中标候选人。本项目选取3名中标候选人。</w:t>
      </w:r>
      <w:r/>
    </w:p>
    <w:p>
      <w:pPr>
        <w:ind w:firstLine="482"/>
        <w:jc w:val="left"/>
        <w:spacing w:line="500" w:lineRule="exact"/>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t xml:space="preserve">二、评标标准</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（2）本项目评分总分为100分，按四舍五入取至小数点后两位。</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（3）总得分=价格分+商务分+技术分。</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jc w:val="center"/>
        <w:spacing w:line="500" w:lineRule="exact"/>
        <w:rPr>
          <w:rFonts w:ascii="宋体;SimSun" w:hAnsi="宋体;SimSun" w:eastAsia="宋体;SimSun" w:cs="宋体;SimSun"/>
          <w:color w:val="auto"/>
          <w:sz w:val="32"/>
          <w:szCs w:val="24"/>
          <w:highlight w:val="none"/>
        </w:rPr>
      </w:pPr>
      <w:r>
        <w:rPr>
          <w:rFonts w:ascii="宋体;SimSun" w:hAnsi="宋体;SimSun" w:eastAsia="宋体;SimSun" w:cs="宋体;SimSun"/>
          <w:color w:val="auto"/>
          <w:sz w:val="32"/>
          <w:szCs w:val="24"/>
          <w:highlight w:val="none"/>
        </w:rPr>
        <w:t xml:space="preserve">综合评分法</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1.价格分（10分）</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投标报价得分=（评标基准价/投标报价）×10分</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2.商务技术分（90分）</w:t>
      </w:r>
      <w:r/>
    </w:p>
    <w:tbl>
      <w:tblPr>
        <w:tblStyle w:val="1006"/>
        <w:tblW w:w="4950" w:type="pct"/>
        <w:jc w:val="center"/>
        <w:tblLayout w:type="fixed"/>
        <w:tblCellMar>
          <w:left w:w="108" w:type="dxa"/>
          <w:top w:w="0" w:type="dxa"/>
          <w:right w:w="108" w:type="dxa"/>
          <w:bottom w:w="0" w:type="dxa"/>
        </w:tblCellMar>
        <w:tblLook w:val="04A0" w:firstRow="1" w:lastRow="0" w:firstColumn="1" w:lastColumn="0" w:noHBand="0" w:noVBand="1"/>
      </w:tblPr>
      <w:tblGrid>
        <w:gridCol w:w="1900"/>
        <w:gridCol w:w="7855"/>
      </w:tblGrid>
      <w:tr>
        <w:trPr>
          <w:jc w:val="center"/>
          <w:trHeight w:val="90"/>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68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 xml:space="preserve">评审标准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 xml:space="preserve">总体理解方案（5分）</w:t>
            </w:r>
            <w:r/>
          </w:p>
          <w:p>
            <w:pPr>
              <w:spacing w:line="360" w:lineRule="auto"/>
              <w:rPr>
                <w:rFonts w:ascii="宋体;SimSun" w:hAnsi="宋体;SimSun" w:eastAsia="宋体;SimSun" w:cs="宋体;SimSun"/>
                <w:bCs/>
                <w:color w:val="auto"/>
                <w:szCs w:val="21"/>
                <w:highlight w:val="none"/>
              </w:rPr>
            </w:pPr>
            <w:r>
              <w:rPr>
                <w:rFonts w:ascii="宋体;SimSun" w:hAnsi="宋体;SimSun" w:eastAsia="宋体;SimSun" w:cs="宋体;SimSun"/>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82" w:type="dxa"/>
            <w:vAlign w:val="center"/>
            <w:textDirection w:val="lrTb"/>
            <w:noWrap w:val="false"/>
          </w:tcPr>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针对本项目总体理解方案的评分内容：方案内容包括但不限于①项目背景、②需求分析、③业务功能、业务流程和业务量分析、④系统功能和性能需求分析等内容。</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1.完整提供①②③④四项及以上内容，且所有内容均与采购需求高度契合、逻辑合理、针对性强、具备极高可行性，无明显内容缺陷。得5分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2.完整提供①②③④四项内容，所有内容与采购需求紧密相关，整体合理可行，仅存在少量轻微内容缺陷，不影响整体方案落地。得4分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3.完整提供①②③④四项内容，但内容与采购需求关联性一般；或提供①②③④中 1</w:t>
            </w:r>
            <w:r>
              <w:rPr>
                <w:rFonts w:ascii="Cambria Math" w:hAnsi="Cambria Math" w:eastAsia="宋体;SimSun" w:cs="Cambria Math"/>
                <w:color w:val="auto"/>
                <w:szCs w:val="21"/>
                <w:highlight w:val="none"/>
              </w:rPr>
              <w:noBreakHyphen/>
            </w:r>
            <w:r>
              <w:rPr>
                <w:rFonts w:ascii="宋体;SimSun" w:hAnsi="宋体;SimSun" w:eastAsia="宋体;SimSun" w:cs="Times New Roman"/>
                <w:color w:val="auto"/>
                <w:szCs w:val="21"/>
                <w:highlight w:val="none"/>
              </w:rPr>
              <w:t xml:space="preserve">3 项内容，内容基本合理，存在少量缺陷，对方案可行性影响较小。得3分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4.提供①②③④中 1</w:t>
            </w:r>
            <w:r>
              <w:rPr>
                <w:rFonts w:ascii="Cambria Math" w:hAnsi="Cambria Math" w:eastAsia="宋体;SimSun" w:cs="Cambria Math"/>
                <w:color w:val="auto"/>
                <w:szCs w:val="21"/>
                <w:highlight w:val="none"/>
              </w:rPr>
              <w:noBreakHyphen/>
            </w:r>
            <w:r>
              <w:rPr>
                <w:rFonts w:ascii="宋体;SimSun" w:hAnsi="宋体;SimSun" w:eastAsia="宋体;SimSun" w:cs="Times New Roman"/>
                <w:color w:val="auto"/>
                <w:szCs w:val="21"/>
                <w:highlight w:val="none"/>
              </w:rPr>
              <w:t xml:space="preserve">2 项内容，或内容与采购需求关联性较弱，存在较多内容缺陷，明显影响方案可行性。得2分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5.仅提供零星内容，与采购需求匹配度低，存在严重缺陷，可行性差。得1分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6.未提供任何一项相关内容，或提供内容与本项目采购需求无关，完全不具备可行性。得0分</w:t>
            </w:r>
            <w:r>
              <w:rPr>
                <w:rFonts w:hint="eastAsia" w:ascii="宋体;SimSun" w:hAnsi="宋体;SimSun" w:eastAsia="宋体;SimSun" w:cs="Times New Roman"/>
                <w:color w:val="auto"/>
                <w:szCs w:val="21"/>
                <w:highlight w:val="none"/>
                <w:lang w:eastAsia="zh-CN"/>
              </w:rPr>
              <w:t xml:space="preserve">。</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 xml:space="preserve">数据中台方案（5分）</w:t>
            </w:r>
            <w:r/>
          </w:p>
        </w:tc>
        <w:tc>
          <w:tcPr>
            <w:tcBorders>
              <w:top w:val="single" w:color="000000" w:sz="4" w:space="0"/>
              <w:left w:val="single" w:color="000000" w:sz="4" w:space="0"/>
              <w:bottom w:val="single" w:color="000000" w:sz="4" w:space="0"/>
              <w:right w:val="single" w:color="000000" w:sz="4" w:space="0"/>
            </w:tcBorders>
            <w:tcW w:w="7682" w:type="dxa"/>
            <w:vAlign w:val="center"/>
            <w:textDirection w:val="lrTb"/>
            <w:noWrap w:val="false"/>
          </w:tcPr>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针对本项目的数据中台方案，方案内容包括但不限于①数据集成模块、②可视化抽取转化加载模块、③可视化图表模块、④数据开发模块、⑤数据治理模块、⑥数据资产模块、⑦数据集市模块、⑧数据服务模块、⑨数据安全模块等9项内容。</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1.完整提供全部9项模块内容，所有内容与本项目采购需求高度契合、逻辑严谨、针对性极强、具备极高可行性，无明显内容缺陷，可直接落地执行。得5分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2.完整提供全部9项模块内容，所有内容与采购需求高度契合、逻辑合理、针对性强、具备极高可行性，仅存在极轻微表述类缺陷，完全不影响方案落地及执行。得4分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3.完整提供全部9项模块内容，所有内容与采购需求紧密相关、整体逻辑清晰、合理可行，仅存在少量轻微内容缺陷（如细节不够细致），不影响整体方案落地；或完整提供8项模块内容，内容与采购需求相关、逻辑清晰、具备可行性，仅存在少量内容缺陷。得3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4.完整提供全部9项模块内容，但内容与采购需求关联性较弱，存在较多内容缺陷，影响方案部分落地性；或仅提供5-7项模块内容，内容与采购需求关联性一般，存在较多内容缺陷。得2分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5.完整提供全部9项模块内容，但内容存在严重缺陷，与采购需求严重不符，基本不具备可行性；或仅提供1-4项模块内容，与采购需求匹配度极低，存在严重缺陷，难以支撑基础数据中台搭建。得1分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6.未提供任何一项相关内容，或提供的内容与本项目采购需求完全无关，或存在严重内容缺陷，方案完全无法满足项目基本要求，不具备可行性。得0分</w:t>
            </w:r>
            <w:r>
              <w:rPr>
                <w:rFonts w:hint="eastAsia" w:ascii="宋体;SimSun" w:hAnsi="宋体;SimSun" w:eastAsia="宋体;SimSun" w:cs="Times New Roman"/>
                <w:color w:val="auto"/>
                <w:szCs w:val="21"/>
                <w:highlight w:val="none"/>
                <w:lang w:eastAsia="zh-CN"/>
              </w:rPr>
              <w:t xml:space="preserve">。</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 xml:space="preserve">智慧平台方案（8分）</w:t>
            </w:r>
            <w:r/>
          </w:p>
        </w:tc>
        <w:tc>
          <w:tcPr>
            <w:tcBorders>
              <w:top w:val="single" w:color="000000" w:sz="4" w:space="0"/>
              <w:left w:val="single" w:color="000000" w:sz="4" w:space="0"/>
              <w:bottom w:val="single" w:color="000000" w:sz="4" w:space="0"/>
              <w:right w:val="single" w:color="000000" w:sz="4" w:space="0"/>
            </w:tcBorders>
            <w:tcW w:w="7682" w:type="dxa"/>
            <w:vAlign w:val="center"/>
            <w:textDirection w:val="lrTb"/>
            <w:noWrap w:val="false"/>
          </w:tcPr>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针对本项目的软件系统方案，方案内容包括但不限于①安全生产管理系统、②敏捷应急系统、③环保管理系统、④封闭园区系统、⑤能碳管理系统、⑥消防管理系统、⑦危化品停车场管理系统、⑧产业信息管理系统、⑨公共管廊管理系统、⑩智能视频分析等10项内容。</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1.完整提供①-⑩十项及以上内容，所有内容与本项目采购需求高度契合、逻辑严谨、针对性极强、具备极高可行性，无明显内容缺陷，可直接落地执行。得8分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2.完整提供①-⑩十项内容，所有内容与采购需求高度契合、逻辑合理、针对性强、具备极高可行性，仅存在极轻微表述类缺陷，完全不影响方案落地及执行。得7分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3.完整提供①-⑩十项内容，所有内容与采购需求紧密相关、整体逻辑清晰、合理可行，仅存在少量轻微内容缺陷（如细节不够细致），不影响整体方案落地。得6分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4.完整提供①-⑩十项内容，所有内容与采购需求相关、整体逻辑通顺、具备基本可行性，存在少量内容缺陷，但不影响方案核心功能落地。得5分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5.完整提供①-⑩十项内容，但内容与采购需求关联性一般，存在一定数量内容缺陷，对方案落地有轻微影响；或完整提供①-⑩中8-9项内容，内容与采购需求相关、逻辑清晰、具备可行性，仅存在少量内容缺陷。得4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6.完整提供①-⑩十项内容，但内容与采购需求关联性较弱，存在较多内容缺陷，影响方案部分落地性；或完整提供①-⑩中6-7项内容，内容与采购需求相关、逻辑基本清晰，存在少量内容缺陷，不影响核心功能落地。得3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7.完整提供①-⑩十项内容，但内容存在较多严重缺陷，与采购需求匹配度低，显著影响方案可行性；或仅提供①-⑩中4-5项内容，内容与采购需求关联性一般，存在较多内容缺陷。得2分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8.完整提供①-⑩十项内容，但内容存在严重缺陷，与采购需求严重不符，基本不具备可行性；或仅提供①-⑩中1-3项内容，与采购需求匹配度极低，存在严重缺陷，难以支撑基础软件系统搭建。得1分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9.未提供任何一项相关内容，或提供的内容与本项目采购需求完全无关，或存在严重内容缺陷，方案完全无法满足项目基本要求，不具备可行性。得0分</w:t>
            </w:r>
            <w:r>
              <w:rPr>
                <w:rFonts w:hint="eastAsia" w:ascii="宋体;SimSun" w:hAnsi="宋体;SimSun" w:eastAsia="宋体;SimSun" w:cs="Times New Roman"/>
                <w:color w:val="auto"/>
                <w:szCs w:val="21"/>
                <w:highlight w:val="none"/>
                <w:lang w:eastAsia="zh-CN"/>
              </w:rPr>
              <w:t xml:space="preserve">。</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 xml:space="preserve">数字孪生平台方案（5分）</w:t>
            </w:r>
            <w:r/>
          </w:p>
        </w:tc>
        <w:tc>
          <w:tcPr>
            <w:tcBorders>
              <w:top w:val="single" w:color="000000" w:sz="4" w:space="0"/>
              <w:left w:val="single" w:color="000000" w:sz="4" w:space="0"/>
              <w:bottom w:val="single" w:color="000000" w:sz="4" w:space="0"/>
              <w:right w:val="single" w:color="000000" w:sz="4" w:space="0"/>
            </w:tcBorders>
            <w:tcW w:w="7682" w:type="dxa"/>
            <w:vAlign w:val="center"/>
            <w:textDirection w:val="lrTb"/>
            <w:noWrap w:val="false"/>
          </w:tcPr>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针对本项目的数字孪生平台方案，方案内容包括但不限于①三维建模与优化功能、②数据采集与绑定功能、③数字孪生态势感知、④三维场景交互浏览、⑤数据看板5项内容。</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1.完整提供全部5项内容，所有内容与本项目采购需求高度契合、逻辑严谨、针对性极强、具备极高可行性，无明显内容缺陷，可直接落地执行。得5分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2.完整提供全部5项内容，所有内容与采购需求高度契合、逻辑合理、针对性强、具备极高可行性，仅存在极轻微表述类缺陷，完全不影响方案落地及执行。得4分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3.完整提供全部5项内容，所有内容与采购需求紧密相关、整体逻辑清晰、合理可行，仅存在少量轻微内容缺陷（如细节不够细致），不影响整体方案落地；或完整提供4项内容，内容与采购需求相关、逻辑清晰、具备可行性，仅存在少量内容缺陷。得3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4.完整提供全部5项内容，但内容与采购需求关联性较弱，存在较多内容缺陷，影响方案部分落地性；或仅提供2-3项内容，内容与采购需求关联性一般，存在较多内容缺陷。得2分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5.完整提供全部5项内容，但内容存在严重缺陷，与采购需求严重不符，基本不具备可行性；或仅提供1项内容，与采购需求匹配度极低，存在严重缺陷，难以支撑基础数字孪生平台搭建。得1分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6.未提供任何一项相关内容，或提供的内容与本项目采购需求完全无关，或存在严重内容缺陷，方案完全无法满足项目基本要求，不具备可行性。得0分</w:t>
            </w:r>
            <w:r>
              <w:rPr>
                <w:rFonts w:hint="eastAsia" w:ascii="宋体;SimSun" w:hAnsi="宋体;SimSun" w:eastAsia="宋体;SimSun" w:cs="Times New Roman"/>
                <w:color w:val="auto"/>
                <w:szCs w:val="21"/>
                <w:highlight w:val="none"/>
                <w:lang w:eastAsia="zh-CN"/>
              </w:rPr>
              <w:t xml:space="preserve">。</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 xml:space="preserve">项目实施方案（5分）</w:t>
            </w:r>
            <w:r/>
          </w:p>
        </w:tc>
        <w:tc>
          <w:tcPr>
            <w:tcBorders>
              <w:top w:val="single" w:color="000000" w:sz="4" w:space="0"/>
              <w:left w:val="single" w:color="000000" w:sz="4" w:space="0"/>
              <w:bottom w:val="single" w:color="000000" w:sz="4" w:space="0"/>
              <w:right w:val="single" w:color="000000" w:sz="4" w:space="0"/>
            </w:tcBorders>
            <w:tcW w:w="7682" w:type="dxa"/>
            <w:vAlign w:val="center"/>
            <w:textDirection w:val="lrTb"/>
            <w:noWrap w:val="false"/>
          </w:tcPr>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针对本项目的实施方案，方案内容包括但不限于①团队管理、②实施计划、③风险管理、④质量控制、⑤后勤保障等内容。</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1.完整提供①-⑤五项及以上内容，所有内容均与本项目采购需求高度契合、逻辑严谨合理、针对性极强、具备极高可行性，无明显内容缺陷（缺陷指：方案与采购需求不符；方案内容不合理；针对性不强；可行性不强）。得5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2.完整提供①-⑤五项内容，所有内容与采购需求紧密相关，整体逻辑清晰、合理可行，仅存在少量轻微内容缺陷，不影响整体方案落地实施。得4分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3.完整提供①-⑤中四项内容，但内容与采购需求关联性一般；或提供①②③④⑤中 1</w:t>
            </w:r>
            <w:r>
              <w:rPr>
                <w:rFonts w:ascii="Cambria Math" w:hAnsi="Cambria Math" w:eastAsia="宋体;SimSun" w:cs="Cambria Math"/>
                <w:color w:val="auto"/>
                <w:szCs w:val="21"/>
                <w:highlight w:val="none"/>
              </w:rPr>
              <w:noBreakHyphen/>
            </w:r>
            <w:r>
              <w:rPr>
                <w:rFonts w:ascii="宋体;SimSun" w:hAnsi="宋体;SimSun" w:eastAsia="宋体;SimSun" w:cs="Times New Roman"/>
                <w:color w:val="auto"/>
                <w:szCs w:val="21"/>
                <w:highlight w:val="none"/>
              </w:rPr>
              <w:t xml:space="preserve">4 项内容，内容基本合理，存在少量缺陷，对方案可行性影响较小。得3分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4.仅提供①-⑤中 1-2 项内容，或虽提供多项内容但与采购需求关联性一般、存在较多内容缺陷，部分内容显著影响方案整体可行性与落地性。得2分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5.提供内容极少且不完整，与采购需求匹配度较低，存在明显内容缺陷，方案落地性差，难以支撑项目实施。得1分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6.未提供任何一项相关内容，或提供的内容与本项目采购需求完全无关，或存在严重内容缺陷，方案完全无法满足项目基本要求，不具备实施可行性。得0分</w:t>
            </w:r>
            <w:r>
              <w:rPr>
                <w:rFonts w:hint="eastAsia" w:ascii="宋体;SimSun" w:hAnsi="宋体;SimSun" w:eastAsia="宋体;SimSun" w:cs="Times New Roman"/>
                <w:color w:val="auto"/>
                <w:szCs w:val="21"/>
                <w:highlight w:val="none"/>
                <w:lang w:eastAsia="zh-CN"/>
              </w:rPr>
              <w:t xml:space="preserve">。</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 xml:space="preserve">售后服务方案（5分）</w:t>
            </w:r>
            <w:r/>
          </w:p>
        </w:tc>
        <w:tc>
          <w:tcPr>
            <w:tcBorders>
              <w:top w:val="single" w:color="000000" w:sz="4" w:space="0"/>
              <w:left w:val="single" w:color="000000" w:sz="4" w:space="0"/>
              <w:bottom w:val="single" w:color="000000" w:sz="4" w:space="0"/>
              <w:right w:val="single" w:color="000000" w:sz="4" w:space="0"/>
            </w:tcBorders>
            <w:tcW w:w="7682" w:type="dxa"/>
            <w:vAlign w:val="center"/>
            <w:textDirection w:val="lrTb"/>
            <w:noWrap w:val="false"/>
          </w:tcPr>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针对本项目的售后服务方案，方案内容包括但不限于①服务承诺、②服务体系、③人员配备、④服务流程等内容。</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1.完整提供①-④四项及以上内容，所有内容与本项目采购需求高度契合、逻辑合理、针对性强、具备极高可行性，无明显内容缺陷。得5分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2.完整提供①-④四项内容，所有内容与采购需求紧密相关，整体合理可行，仅存在少量轻微内容缺陷，不影响整体服务方案落地。得4分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3.完整提供①②③④四项内容，但内容与采购需求关联性一般；或提供①②③④中 1</w:t>
            </w:r>
            <w:r>
              <w:rPr>
                <w:rFonts w:ascii="Cambria Math" w:hAnsi="Cambria Math" w:eastAsia="宋体;SimSun" w:cs="Cambria Math"/>
                <w:color w:val="auto"/>
                <w:szCs w:val="21"/>
                <w:highlight w:val="none"/>
              </w:rPr>
              <w:noBreakHyphen/>
            </w:r>
            <w:r>
              <w:rPr>
                <w:rFonts w:ascii="宋体;SimSun" w:hAnsi="宋体;SimSun" w:eastAsia="宋体;SimSun" w:cs="Times New Roman"/>
                <w:color w:val="auto"/>
                <w:szCs w:val="21"/>
                <w:highlight w:val="none"/>
              </w:rPr>
              <w:t xml:space="preserve">4项内容，内容基本合理，存在少量缺陷，对方案可行性影响较小。得3分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4.提供①-④中1-2项内容，或内容与采购需求关联性一般、存在较多内容缺陷，部分影响服务方案可行性。得2分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5.仅提供零星内容，与采购需求匹配度低，存在严重缺陷，可行性差，难以支撑基础售后服务。得1分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6.未提供任何相关内容，或内容与本项目采购需求无关，或存在严重内容缺陷，完全不具备可行性。得0分</w:t>
            </w:r>
            <w:r>
              <w:rPr>
                <w:rFonts w:hint="eastAsia" w:ascii="宋体;SimSun" w:hAnsi="宋体;SimSun" w:eastAsia="宋体;SimSun" w:cs="Times New Roman"/>
                <w:color w:val="auto"/>
                <w:szCs w:val="21"/>
                <w:highlight w:val="none"/>
                <w:lang w:eastAsia="zh-CN"/>
              </w:rPr>
              <w:t xml:space="preserve">。</w:t>
            </w:r>
            <w:r/>
          </w:p>
        </w:tc>
      </w:tr>
      <w:tr>
        <w:trPr>
          <w:jc w:val="center"/>
          <w:trHeight w:val="843"/>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 xml:space="preserve">验收及培训方案（5分）</w:t>
            </w:r>
            <w:r/>
          </w:p>
        </w:tc>
        <w:tc>
          <w:tcPr>
            <w:tcBorders>
              <w:top w:val="single" w:color="000000" w:sz="4" w:space="0"/>
              <w:left w:val="single" w:color="000000" w:sz="4" w:space="0"/>
              <w:bottom w:val="single" w:color="000000" w:sz="4" w:space="0"/>
              <w:right w:val="single" w:color="000000" w:sz="4" w:space="0"/>
            </w:tcBorders>
            <w:tcW w:w="7682" w:type="dxa"/>
            <w:textDirection w:val="lrTb"/>
            <w:noWrap w:val="false"/>
          </w:tcPr>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针对本项目的验收及培训方案，方案内容包括但不限于①验收内容、②验收标准、③验收方式、④培训目标、⑤培训方式等内容。</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1.完整提供①-⑤五项及以上内容，所有内容与本项目采购需求高度契合、逻辑合理、针对性强、具备极高可行性，无明显内容缺陷。得5分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2.完整提供①-⑤五项内容，所有内容与采购需求紧密相关，整体合理可行，仅存在少量轻微内容缺陷，不影响整体方案落地。得4分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3.完整提供①-⑤中四项内容，但内容与采购需求关联性一般；或提供①②③④⑤中 1</w:t>
            </w:r>
            <w:r>
              <w:rPr>
                <w:rFonts w:ascii="Cambria Math" w:hAnsi="Cambria Math" w:eastAsia="宋体;SimSun" w:cs="Cambria Math"/>
                <w:color w:val="auto"/>
                <w:szCs w:val="21"/>
                <w:highlight w:val="none"/>
              </w:rPr>
              <w:noBreakHyphen/>
            </w:r>
            <w:r>
              <w:rPr>
                <w:rFonts w:ascii="宋体;SimSun" w:hAnsi="宋体;SimSun" w:eastAsia="宋体;SimSun" w:cs="Times New Roman"/>
                <w:color w:val="auto"/>
                <w:szCs w:val="21"/>
                <w:highlight w:val="none"/>
              </w:rPr>
              <w:t xml:space="preserve">4项内容，内容基本合理，存在少量缺陷，对方案可行性影响较小。得3分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eastAsia="宋体;SimSun"/>
                <w:color w:val="auto"/>
                <w:highlight w:val="none"/>
                <w:lang w:eastAsia="zh-CN"/>
              </w:rPr>
            </w:pPr>
            <w:r>
              <w:rPr>
                <w:rFonts w:ascii="宋体;SimSun" w:hAnsi="宋体;SimSun" w:eastAsia="宋体;SimSun" w:cs="Times New Roman"/>
                <w:color w:val="auto"/>
                <w:szCs w:val="21"/>
                <w:highlight w:val="none"/>
              </w:rPr>
              <w:t xml:space="preserve">4.提供①-⑤中1-2项内容，或内容与采购需求关联性一般、存在较多内容缺陷，部分影响方案可行性。得2分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5.仅提供零星内容，与采购需求匹配度低，存在严重缺陷，可行性差，难以支撑基础验收及培训工作。得1分</w:t>
            </w:r>
            <w:r>
              <w:rPr>
                <w:rFonts w:hint="eastAsia" w:ascii="宋体;SimSun" w:hAnsi="宋体;SimSun" w:eastAsia="宋体;SimSun" w:cs="Times New Roman"/>
                <w:color w:val="auto"/>
                <w:szCs w:val="21"/>
                <w:highlight w:val="none"/>
                <w:lang w:eastAsia="zh-CN"/>
              </w:rPr>
              <w:t xml:space="preserve">。</w:t>
            </w:r>
            <w:r/>
          </w:p>
          <w:p>
            <w:pPr>
              <w:ind w:firstLine="210"/>
              <w:spacing w:line="360" w:lineRule="exact"/>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 xml:space="preserve">6.未提供任何相关内容，或内容与本项目采购需求无关，或存在严重内容缺陷，完全不具备可行性。得0分</w:t>
            </w:r>
            <w:r>
              <w:rPr>
                <w:rFonts w:hint="eastAsia" w:ascii="宋体;SimSun" w:hAnsi="宋体;SimSun" w:eastAsia="宋体;SimSun" w:cs="Times New Roman"/>
                <w:color w:val="auto"/>
                <w:szCs w:val="21"/>
                <w:highlight w:val="none"/>
                <w:lang w:eastAsia="zh-CN"/>
              </w:rPr>
              <w:t xml:space="preserve">。</w:t>
            </w:r>
            <w:r/>
          </w:p>
        </w:tc>
      </w:tr>
      <w:tr>
        <w:trPr>
          <w:jc w:val="center"/>
          <w:trHeight w:val="909"/>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企业实力</w:t>
            </w:r>
            <w:r/>
          </w:p>
          <w:p>
            <w:pPr>
              <w:jc w:val="center"/>
              <w:spacing w:line="400" w:lineRule="exact"/>
              <w:rPr>
                <w:rFonts w:ascii="宋体;SimSun" w:hAnsi="宋体;SimSun" w:eastAsia="宋体;SimSun" w:cs="宋体;SimSun"/>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682" w:type="dxa"/>
            <w:vAlign w:val="top"/>
            <w:textDirection w:val="lrTb"/>
            <w:noWrap w:val="false"/>
          </w:tcPr>
          <w:p>
            <w:pPr>
              <w:ind w:firstLine="210"/>
              <w:spacing w:line="360" w:lineRule="exact"/>
              <w:rPr>
                <w:rFonts w:hint="eastAsia" w:ascii="宋体" w:hAnsi="宋体" w:eastAsia="宋体" w:cs="Times New Roman"/>
                <w:bCs/>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eastAsia="宋体" w:cs="Times New Roman"/>
                <w:bCs/>
                <w:color w:val="auto"/>
                <w:szCs w:val="21"/>
                <w:highlight w:val="none"/>
              </w:rPr>
              <w:t xml:space="preserve">投标人具有</w:t>
            </w:r>
            <w:r>
              <w:rPr>
                <w:rFonts w:ascii="宋体" w:hAnsi="宋体" w:eastAsia="宋体" w:cs="Times New Roman"/>
                <w:bCs/>
                <w:color w:val="auto"/>
                <w:szCs w:val="21"/>
                <w:highlight w:val="none"/>
              </w:rPr>
              <w:t xml:space="preserve">IS</w:t>
            </w:r>
            <w:r>
              <w:rPr>
                <w:rFonts w:hint="eastAsia" w:ascii="宋体" w:hAnsi="宋体" w:eastAsia="宋体" w:cs="Times New Roman"/>
                <w:bCs/>
                <w:color w:val="auto"/>
                <w:szCs w:val="21"/>
                <w:highlight w:val="none"/>
              </w:rPr>
              <w:t xml:space="preserve">O9001质量管理体系认证证书的得2分。</w:t>
            </w:r>
            <w:r/>
          </w:p>
          <w:p>
            <w:pPr>
              <w:ind w:firstLine="210"/>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rPr>
                <w:rFonts w:hint="eastAsia" w:ascii="宋体" w:hAnsi="宋体" w:eastAsia="宋体" w:cs="Times New Roman"/>
                <w:bCs/>
                <w:color w:val="auto"/>
                <w:szCs w:val="21"/>
                <w:highlight w:val="none"/>
              </w:rPr>
              <w:t xml:space="preserve">投标人具有</w:t>
            </w:r>
            <w:r>
              <w:rPr>
                <w:rFonts w:ascii="宋体" w:hAnsi="宋体" w:eastAsia="宋体" w:cs="Times New Roman"/>
                <w:bCs/>
                <w:color w:val="auto"/>
                <w:szCs w:val="21"/>
                <w:highlight w:val="none"/>
              </w:rPr>
              <w:t xml:space="preserve">IS</w:t>
            </w:r>
            <w:r>
              <w:rPr>
                <w:rFonts w:hint="eastAsia" w:ascii="宋体" w:hAnsi="宋体" w:eastAsia="宋体" w:cs="Times New Roman"/>
                <w:bCs/>
                <w:color w:val="auto"/>
                <w:szCs w:val="21"/>
                <w:highlight w:val="none"/>
              </w:rPr>
              <w:t xml:space="preserve">O</w:t>
            </w:r>
            <w:r>
              <w:rPr>
                <w:rFonts w:ascii="宋体" w:hAnsi="宋体" w:eastAsia="宋体" w:cs="Times New Roman"/>
                <w:bCs/>
                <w:color w:val="auto"/>
                <w:szCs w:val="21"/>
                <w:highlight w:val="none"/>
              </w:rPr>
              <w:t xml:space="preserve">14001环境管理体系</w:t>
            </w:r>
            <w:r>
              <w:rPr>
                <w:rFonts w:hint="eastAsia" w:ascii="宋体" w:hAnsi="宋体" w:eastAsia="宋体" w:cs="Times New Roman"/>
                <w:bCs/>
                <w:color w:val="auto"/>
                <w:szCs w:val="21"/>
                <w:highlight w:val="none"/>
              </w:rPr>
              <w:t xml:space="preserve">认证证书</w:t>
            </w:r>
            <w:r>
              <w:rPr>
                <w:rFonts w:hint="eastAsia" w:ascii="宋体" w:hAnsi="宋体" w:eastAsia="宋体" w:cs="Times New Roman"/>
                <w:color w:val="auto"/>
                <w:szCs w:val="21"/>
                <w:highlight w:val="none"/>
              </w:rPr>
              <w:t xml:space="preserve">的得2分。</w:t>
            </w:r>
            <w:r/>
          </w:p>
          <w:p>
            <w:pPr>
              <w:ind w:firstLine="210"/>
              <w:spacing w:line="360" w:lineRule="exact"/>
              <w:rPr>
                <w:color w:val="auto"/>
                <w:highlight w:val="none"/>
              </w:rPr>
            </w:pPr>
            <w:r>
              <w:rPr>
                <w:rFonts w:hint="eastAsia" w:ascii="宋体" w:hAnsi="宋体" w:eastAsia="宋体" w:cs="Times New Roman"/>
                <w:b/>
                <w:bCs/>
                <w:color w:val="auto"/>
                <w:szCs w:val="21"/>
                <w:highlight w:val="none"/>
              </w:rPr>
              <w:t xml:space="preserve">注：</w:t>
            </w:r>
            <w:r>
              <w:rPr>
                <w:rFonts w:hint="eastAsia" w:ascii="宋体" w:hAnsi="宋体"/>
                <w:b/>
                <w:bCs/>
                <w:color w:val="auto"/>
                <w:highlight w:val="none"/>
              </w:rPr>
              <w:t xml:space="preserve">上述证书须在有效期内，证明材料须提供有效证书复印件及认证机构在线查询完整截图（含完整网址），未提供或未按要求提供此项不得分。</w:t>
            </w:r>
            <w:r/>
          </w:p>
        </w:tc>
      </w:tr>
      <w:tr>
        <w:trPr>
          <w:jc w:val="center"/>
          <w:trHeight w:val="1240"/>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投标人业绩</w:t>
            </w:r>
            <w:r/>
          </w:p>
          <w:p>
            <w:pPr>
              <w:jc w:val="center"/>
              <w:spacing w:line="400" w:lineRule="exact"/>
              <w:rPr>
                <w:rFonts w:ascii="宋体;SimSun" w:hAnsi="宋体;SimSun" w:eastAsia="宋体;SimSun" w:cs="宋体;SimSun"/>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682" w:type="dxa"/>
            <w:vAlign w:val="top"/>
            <w:textDirection w:val="lrTb"/>
            <w:noWrap w:val="false"/>
          </w:tcPr>
          <w:p>
            <w:pPr>
              <w:ind w:firstLine="210"/>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自2021年1月1日至投标截止之日，投标人完成的类似项目业绩：</w:t>
            </w:r>
            <w:r/>
          </w:p>
          <w:p>
            <w:pPr>
              <w:ind w:firstLine="210"/>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1、每提供一项类似园区信息化平台建设项目业绩的</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有一个</w:t>
            </w:r>
            <w:r>
              <w:rPr>
                <w:rFonts w:hint="eastAsia" w:ascii="宋体" w:hAnsi="宋体" w:eastAsia="宋体" w:cs="Times New Roman"/>
                <w:color w:val="auto"/>
                <w:szCs w:val="21"/>
                <w:highlight w:val="none"/>
              </w:rPr>
              <w:t xml:space="preserve">得1</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分；本项最高得</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分。</w:t>
            </w:r>
            <w:r/>
          </w:p>
          <w:p>
            <w:pPr>
              <w:ind w:firstLine="210"/>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2、类似业绩中包含安全生产、环境管理、应急指挥、能源管理相关建设内容</w:t>
            </w:r>
            <w:r>
              <w:rPr>
                <w:rFonts w:hint="eastAsia" w:ascii="宋体" w:hAnsi="宋体" w:eastAsia="宋体" w:cs="Times New Roman"/>
                <w:color w:val="auto"/>
                <w:szCs w:val="21"/>
                <w:highlight w:val="none"/>
                <w:lang w:eastAsia="zh-CN"/>
              </w:rPr>
              <w:t xml:space="preserve">的，</w:t>
            </w:r>
            <w:r>
              <w:rPr>
                <w:rFonts w:hint="eastAsia" w:ascii="宋体" w:hAnsi="宋体" w:eastAsia="宋体" w:cs="Times New Roman"/>
                <w:color w:val="auto"/>
                <w:szCs w:val="21"/>
                <w:highlight w:val="none"/>
              </w:rPr>
              <w:t xml:space="preserve">得</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每</w:t>
            </w:r>
            <w:r>
              <w:rPr>
                <w:rFonts w:hint="eastAsia" w:ascii="宋体" w:hAnsi="宋体" w:eastAsia="宋体" w:cs="Times New Roman"/>
                <w:color w:val="auto"/>
                <w:szCs w:val="21"/>
                <w:highlight w:val="none"/>
                <w:lang w:val="en-US" w:eastAsia="zh-CN"/>
              </w:rPr>
              <w:t xml:space="preserve">缺</w:t>
            </w:r>
            <w:r>
              <w:rPr>
                <w:rFonts w:hint="eastAsia" w:ascii="宋体" w:hAnsi="宋体" w:eastAsia="宋体" w:cs="Times New Roman"/>
                <w:color w:val="auto"/>
                <w:szCs w:val="21"/>
                <w:highlight w:val="none"/>
              </w:rPr>
              <w:t xml:space="preserve">一项，</w:t>
            </w:r>
            <w:r>
              <w:rPr>
                <w:rFonts w:hint="eastAsia" w:ascii="宋体" w:hAnsi="宋体" w:eastAsia="宋体" w:cs="Times New Roman"/>
                <w:color w:val="auto"/>
                <w:szCs w:val="21"/>
                <w:highlight w:val="none"/>
                <w:lang w:val="en-US" w:eastAsia="zh-CN"/>
              </w:rPr>
              <w:t xml:space="preserve">扣1.5</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扣完为止</w:t>
            </w:r>
            <w:r>
              <w:rPr>
                <w:rFonts w:hint="eastAsia" w:ascii="宋体" w:hAnsi="宋体" w:eastAsia="宋体" w:cs="Times New Roman"/>
                <w:color w:val="auto"/>
                <w:szCs w:val="21"/>
                <w:highlight w:val="none"/>
              </w:rPr>
              <w:t xml:space="preserve">。</w:t>
            </w:r>
            <w:r/>
          </w:p>
          <w:p>
            <w:pPr>
              <w:ind w:firstLine="21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评审备注：</w:t>
            </w:r>
            <w:r/>
          </w:p>
          <w:p>
            <w:pPr>
              <w:ind w:firstLine="210"/>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（1）业绩证明材料：须提供合同协议书，合同关键页清晰体现项目名称、实施内容、签订时间；评标委员会依据合同原文内容判定是否包含指定建设内容；无合同原文佐证不予加分；</w:t>
            </w:r>
            <w:r/>
          </w:p>
          <w:p>
            <w:pPr>
              <w:ind w:firstLine="210"/>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（2）业绩时间以合同签订日期为准。</w:t>
            </w:r>
            <w:r/>
          </w:p>
          <w:p>
            <w:pPr>
              <w:ind w:firstLine="210"/>
              <w:spacing w:line="360" w:lineRule="exact"/>
              <w:rPr>
                <w:rFonts w:ascii="宋体;SimSun" w:hAnsi="宋体;SimSun" w:eastAsia="宋体;SimSun" w:cs="Times New Roman"/>
                <w:color w:val="auto"/>
                <w:szCs w:val="21"/>
                <w:highlight w:val="none"/>
              </w:rPr>
            </w:pP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）每项业绩需提供项目验收报告，否则不予计分。</w:t>
            </w:r>
            <w:r/>
          </w:p>
        </w:tc>
      </w:tr>
      <w:tr>
        <w:trPr>
          <w:jc w:val="center"/>
          <w:trHeight w:val="1240"/>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软件实力</w:t>
            </w:r>
            <w:r/>
          </w:p>
          <w:p>
            <w:pPr>
              <w:jc w:val="center"/>
              <w:spacing w:line="400" w:lineRule="exact"/>
              <w:rPr>
                <w:rFonts w:ascii="宋体;SimSun" w:hAnsi="宋体;SimSun" w:eastAsia="宋体;SimSun" w:cs="宋体;SimSun"/>
                <w:color w:val="auto"/>
                <w:szCs w:val="21"/>
                <w:highlight w:val="none"/>
              </w:rPr>
            </w:pPr>
            <w:r>
              <w:rPr>
                <w:rFonts w:hint="eastAsia" w:ascii="宋体" w:hAnsi="宋体" w:eastAsia="宋体" w:cs="宋体"/>
                <w:color w:val="auto"/>
                <w:szCs w:val="21"/>
                <w:highlight w:val="none"/>
              </w:rPr>
              <w:t xml:space="preserve">（6分）</w:t>
            </w:r>
            <w:r/>
          </w:p>
        </w:tc>
        <w:tc>
          <w:tcPr>
            <w:tcBorders>
              <w:top w:val="single" w:color="000000" w:sz="4" w:space="0"/>
              <w:left w:val="single" w:color="000000" w:sz="4" w:space="0"/>
              <w:bottom w:val="single" w:color="000000" w:sz="4" w:space="0"/>
              <w:right w:val="single" w:color="000000" w:sz="4" w:space="0"/>
            </w:tcBorders>
            <w:tcW w:w="7682" w:type="dxa"/>
            <w:vAlign w:val="top"/>
            <w:textDirection w:val="lrTb"/>
            <w:noWrap w:val="false"/>
          </w:tcPr>
          <w:p>
            <w:pPr>
              <w:ind w:firstLine="210"/>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投标人所投产品具有中华人民共和国国家版权局颁发的计算机软件著作权证书，含有类似字样：“易燃易爆有毒有害气体泄漏监测”、“</w:t>
            </w:r>
            <w:r>
              <w:rPr>
                <w:rFonts w:hint="eastAsia" w:ascii="宋体" w:hAnsi="宋体" w:cs="宋体"/>
                <w:color w:val="auto"/>
                <w:sz w:val="22"/>
                <w:highlight w:val="none"/>
                <w:lang w:bidi="ar"/>
              </w:rPr>
              <w:t xml:space="preserve">微服务</w:t>
            </w:r>
            <w:r>
              <w:rPr>
                <w:rFonts w:hint="eastAsia" w:ascii="宋体" w:hAnsi="宋体" w:eastAsia="宋体" w:cs="Times New Roman"/>
                <w:color w:val="auto"/>
                <w:szCs w:val="21"/>
                <w:highlight w:val="none"/>
              </w:rPr>
              <w:t xml:space="preserve">”、“三级防控体系”、“车辆路径规划”、“地下水监测”、“特征污染物管理”。每具备一个得</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分，最高得6分。</w:t>
            </w:r>
            <w:r/>
          </w:p>
          <w:p>
            <w:pPr>
              <w:spacing w:line="360" w:lineRule="exact"/>
              <w:rPr>
                <w:rFonts w:ascii="宋体;SimSun" w:hAnsi="宋体;SimSun" w:eastAsia="宋体;SimSun" w:cs="Times New Roman"/>
                <w:b/>
                <w:bCs/>
                <w:color w:val="auto"/>
                <w:szCs w:val="21"/>
                <w:highlight w:val="none"/>
              </w:rPr>
            </w:pPr>
            <w:r>
              <w:rPr>
                <w:rFonts w:hint="eastAsia" w:ascii="宋体" w:hAnsi="宋体" w:eastAsia="宋体" w:cs="Times New Roman"/>
                <w:b/>
                <w:bCs/>
                <w:color w:val="auto"/>
                <w:szCs w:val="21"/>
                <w:highlight w:val="none"/>
              </w:rPr>
              <w:t xml:space="preserve">注：</w:t>
            </w:r>
            <w:r>
              <w:rPr>
                <w:rFonts w:ascii="宋体" w:hAnsi="宋体" w:eastAsia="宋体" w:cs="Times New Roman"/>
                <w:b/>
                <w:bCs/>
                <w:color w:val="auto"/>
                <w:szCs w:val="21"/>
                <w:highlight w:val="none"/>
              </w:rPr>
              <w:t xml:space="preserve">1</w:t>
            </w:r>
            <w:r>
              <w:rPr>
                <w:rFonts w:hint="eastAsia" w:ascii="宋体" w:hAnsi="宋体" w:eastAsia="宋体" w:cs="Times New Roman"/>
                <w:b/>
                <w:bCs/>
                <w:color w:val="auto"/>
                <w:szCs w:val="21"/>
                <w:highlight w:val="none"/>
              </w:rPr>
              <w:t xml:space="preserve">、须提供证书原件的扫描件并加盖投标单位公章，未提供的不得分；</w:t>
            </w:r>
            <w:r>
              <w:rPr>
                <w:rFonts w:ascii="宋体" w:hAnsi="宋体" w:eastAsia="宋体" w:cs="Times New Roman"/>
                <w:b/>
                <w:bCs/>
                <w:color w:val="auto"/>
                <w:szCs w:val="21"/>
                <w:highlight w:val="none"/>
              </w:rPr>
              <w:t xml:space="preserve">2</w:t>
            </w:r>
            <w:r>
              <w:rPr>
                <w:rFonts w:hint="eastAsia" w:ascii="宋体" w:hAnsi="宋体" w:eastAsia="宋体" w:cs="Times New Roman"/>
                <w:b/>
                <w:bCs/>
                <w:color w:val="auto"/>
                <w:szCs w:val="21"/>
                <w:highlight w:val="none"/>
              </w:rPr>
              <w:t xml:space="preserve">、如证书名称表述不一致但意思相近的，投标人可以提供证书的相关说明材料，由评委认定后给予计分； </w:t>
            </w:r>
            <w:r/>
          </w:p>
        </w:tc>
      </w:tr>
      <w:tr>
        <w:trPr>
          <w:jc w:val="center"/>
          <w:trHeight w:val="3455"/>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人员团队</w:t>
            </w:r>
            <w:r/>
          </w:p>
          <w:p>
            <w:pPr>
              <w:jc w:val="center"/>
              <w:spacing w:line="400" w:lineRule="exact"/>
              <w:rPr>
                <w:rFonts w:ascii="宋体;SimSun" w:hAnsi="宋体;SimSun" w:eastAsia="宋体;SimSun" w:cs="宋体;SimSun"/>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682" w:type="dxa"/>
            <w:vAlign w:val="top"/>
            <w:textDirection w:val="lrTb"/>
            <w:noWrap w:val="false"/>
          </w:tcPr>
          <w:p>
            <w:pPr>
              <w:ind w:firstLine="21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1、投标人拟投入本项目的项目经理具有信息系统项目管理师证书的，得2分。未提供证书不得分。</w:t>
            </w:r>
            <w:r/>
          </w:p>
          <w:p>
            <w:pPr>
              <w:ind w:firstLine="21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2、投标人拟投入本项目的技术负责人具有系统架构设计师证书的，得2分。未提供证书不得分。</w:t>
            </w:r>
            <w:r/>
          </w:p>
          <w:p>
            <w:pPr>
              <w:ind w:firstLine="21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3、投标人拟投入本项目的项目团队（除项目负责人和技术负责人外）具有软件设计师证书、数据库系统工程师、网络规划设计师证书、ITSS IT服务工程师的，每提供1个证书得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分，最高得</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分，未提供证书不得分，同一人证书不重复计算、同一类型证书不重复计算。</w:t>
            </w:r>
            <w:r/>
          </w:p>
          <w:p>
            <w:pPr>
              <w:ind w:firstLine="210"/>
              <w:spacing w:line="360" w:lineRule="exact"/>
              <w:rPr>
                <w:rFonts w:ascii="宋体;SimSun" w:hAnsi="宋体;SimSun" w:eastAsia="宋体;SimSun" w:cs="Times New Roman"/>
                <w:color w:val="auto"/>
                <w:szCs w:val="21"/>
                <w:highlight w:val="none"/>
              </w:rPr>
            </w:pPr>
            <w:r>
              <w:rPr>
                <w:rFonts w:hint="eastAsia" w:ascii="宋体" w:hAnsi="宋体" w:eastAsia="宋体" w:cs="Times New Roman"/>
                <w:color w:val="auto"/>
                <w:szCs w:val="21"/>
                <w:highlight w:val="none"/>
              </w:rPr>
              <w:t xml:space="preserve">提供有效相关证书扫描件加盖投标人公章，并提供单位为其缴纳的近6个月内至少1个月的社保缴纳证明材料，否则不得分。</w:t>
            </w:r>
            <w:r/>
          </w:p>
        </w:tc>
      </w:tr>
      <w:tr>
        <w:trPr>
          <w:jc w:val="center"/>
          <w:trHeight w:val="1299"/>
        </w:trPr>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spacing w:line="400" w:lineRule="exact"/>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 xml:space="preserve">硬件设备技术参数响应（18分）</w:t>
            </w:r>
            <w:r/>
          </w:p>
        </w:tc>
        <w:tc>
          <w:tcPr>
            <w:tcBorders>
              <w:top w:val="single" w:color="000000" w:sz="4" w:space="0"/>
              <w:left w:val="single" w:color="000000" w:sz="4" w:space="0"/>
              <w:bottom w:val="single" w:color="000000" w:sz="4" w:space="0"/>
              <w:right w:val="single" w:color="000000" w:sz="4" w:space="0"/>
            </w:tcBorders>
            <w:tcW w:w="7682" w:type="dxa"/>
            <w:textDirection w:val="lrTb"/>
            <w:noWrap w:val="false"/>
          </w:tcPr>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投标人所投硬件产品技术参数全部满足以下技术参数指标的得18分；标有▲的参数每有一项满足得2分，本项最高得18分。</w:t>
            </w:r>
            <w:r/>
          </w:p>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1.指挥中心配套设备-指挥中心大屏设备-LED控制设备： </w:t>
            </w:r>
            <w:r/>
          </w:p>
          <w:p>
            <w:pPr>
              <w:ind w:firstLine="210"/>
              <w:spacing w:line="360" w:lineRule="exact"/>
              <w:rPr>
                <w:color w:val="auto"/>
                <w:highlight w:val="none"/>
              </w:rPr>
            </w:pPr>
            <w:r>
              <w:rPr>
                <w:rFonts w:ascii="宋体;SimSun" w:hAnsi="宋体;SimSun" w:eastAsia="宋体;SimSun" w:cs="宋体;SimSun"/>
                <w:color w:val="auto"/>
                <w:szCs w:val="21"/>
                <w:highlight w:val="none"/>
              </w:rPr>
              <w:t xml:space="preserve">▲</w:t>
            </w:r>
            <w:r>
              <w:rPr>
                <w:rFonts w:ascii="宋体;SimSun" w:hAnsi="宋体;SimSun" w:eastAsia="宋体;SimSun" w:cs="Times New Roman"/>
                <w:color w:val="auto"/>
                <w:szCs w:val="21"/>
                <w:highlight w:val="none"/>
              </w:rPr>
              <w:t xml:space="preserve">支持监控场景切换，最大可支持切换场景数为4个，场景切换时间≤2s。（提供第三方检测机构出具的具有CMA或CNAS标识的检测报告扫描件并加盖投标人公章）</w:t>
            </w:r>
            <w:r/>
          </w:p>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2.指挥中心配套设备-指挥中心音频会议扩声系统-全数字会议系统主机： </w:t>
            </w:r>
            <w:r/>
          </w:p>
          <w:p>
            <w:pPr>
              <w:ind w:firstLine="210"/>
              <w:spacing w:line="360" w:lineRule="exact"/>
              <w:rPr>
                <w:color w:val="auto"/>
                <w:highlight w:val="none"/>
              </w:rPr>
            </w:pPr>
            <w:r>
              <w:rPr>
                <w:rFonts w:ascii="宋体;SimSun" w:hAnsi="宋体;SimSun" w:eastAsia="宋体;SimSun" w:cs="宋体;SimSun"/>
                <w:color w:val="auto"/>
                <w:szCs w:val="21"/>
                <w:highlight w:val="none"/>
              </w:rPr>
              <w:t xml:space="preserve">▲</w:t>
            </w:r>
            <w:r>
              <w:rPr>
                <w:rFonts w:ascii="宋体;SimSun" w:hAnsi="宋体;SimSun" w:eastAsia="宋体;SimSun" w:cs="Times New Roman"/>
                <w:color w:val="auto"/>
                <w:szCs w:val="21"/>
                <w:highlight w:val="none"/>
              </w:rPr>
              <w:t xml:space="preserve">采用128位AES Rijndael和48位PIN码加密保护，防止窃听和非授权访问，确保会议的私密性；（提供第三方检测机构出具的具有CMA或CNAS标识的检测报告扫描件并加盖投标人公章）</w:t>
            </w:r>
            <w:r/>
          </w:p>
          <w:p>
            <w:pPr>
              <w:ind w:firstLine="210"/>
              <w:spacing w:line="360" w:lineRule="exact"/>
              <w:rPr>
                <w:color w:val="auto"/>
                <w:highlight w:val="none"/>
              </w:rPr>
            </w:pPr>
            <w:r>
              <w:rPr>
                <w:rFonts w:ascii="宋体;SimSun" w:hAnsi="宋体;SimSun" w:eastAsia="宋体;SimSun" w:cs="Times New Roman"/>
                <w:color w:val="auto"/>
                <w:szCs w:val="21"/>
                <w:highlight w:val="none"/>
              </w:rPr>
              <w:t xml:space="preserve">3.指挥中心配套设备-指挥中心视频监控及门禁控制系统-硬盘录像机： </w:t>
            </w:r>
            <w:r/>
          </w:p>
          <w:p>
            <w:pPr>
              <w:ind w:firstLine="210"/>
              <w:spacing w:line="360" w:lineRule="exact"/>
              <w:rPr>
                <w:color w:val="auto"/>
                <w:highlight w:val="none"/>
              </w:rPr>
            </w:pPr>
            <w:r>
              <w:rPr>
                <w:rFonts w:ascii="宋体;SimSun" w:hAnsi="宋体;SimSun" w:eastAsia="宋体;SimSun" w:cs="宋体;SimSun"/>
                <w:color w:val="auto"/>
                <w:szCs w:val="21"/>
                <w:highlight w:val="none"/>
              </w:rPr>
              <w:t xml:space="preserve">▲</w:t>
            </w:r>
            <w:r>
              <w:rPr>
                <w:rFonts w:ascii="宋体;SimSun" w:hAnsi="宋体;SimSun" w:eastAsia="宋体;SimSun" w:cs="Times New Roman"/>
                <w:color w:val="auto"/>
                <w:szCs w:val="21"/>
                <w:highlight w:val="none"/>
              </w:rPr>
              <w:t xml:space="preserve">支持摄像头属性调节页面直接展示视频效果，调节效果随参数调整实时展现。支持单独对算法模型文件进行升级（提供第三方检测机构出具的具有CMA或CNAS标识的检测报告扫描件并加盖投标人公章）</w:t>
            </w:r>
            <w:r/>
          </w:p>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4.指挥中心配套设备-融合通信系统-集群网关： </w:t>
            </w:r>
            <w:r/>
          </w:p>
          <w:p>
            <w:pPr>
              <w:ind w:firstLine="210"/>
              <w:spacing w:line="360" w:lineRule="exact"/>
              <w:rPr>
                <w:color w:val="auto"/>
                <w:highlight w:val="none"/>
              </w:rPr>
            </w:pPr>
            <w:r>
              <w:rPr>
                <w:rFonts w:ascii="宋体;SimSun" w:hAnsi="宋体;SimSun" w:eastAsia="宋体;SimSun" w:cs="宋体;SimSun"/>
                <w:color w:val="auto"/>
                <w:szCs w:val="21"/>
                <w:highlight w:val="none"/>
              </w:rPr>
              <w:t xml:space="preserve">▲</w:t>
            </w:r>
            <w:r>
              <w:rPr>
                <w:rFonts w:ascii="宋体;SimSun" w:hAnsi="宋体;SimSun" w:eastAsia="宋体;SimSun" w:cs="Times New Roman"/>
                <w:color w:val="auto"/>
                <w:szCs w:val="21"/>
                <w:highlight w:val="none"/>
              </w:rPr>
              <w:t xml:space="preserve">语音编码：支持ALAW、ULAW、G.729、G.723；最大功耗≤10W；热线号码可设定；支持信令端口设置；RTP端口范围可设定；RTP包长度可设定：PTTIN低电位有效值：≤0.7V，PTTOUT高电位输出：≧5V。（提供第三方检测机构出具的具有CMA或CNAS标识的检测报告扫描件并加盖投标人公章）</w:t>
            </w:r>
            <w:r/>
          </w:p>
          <w:p>
            <w:pPr>
              <w:ind w:firstLine="210"/>
              <w:spacing w:line="360" w:lineRule="exact"/>
              <w:rPr>
                <w:color w:val="auto"/>
                <w:highlight w:val="none"/>
              </w:rPr>
            </w:pPr>
            <w:r>
              <w:rPr>
                <w:rFonts w:ascii="宋体;SimSun" w:hAnsi="宋体;SimSun" w:eastAsia="宋体;SimSun" w:cs="Times New Roman"/>
                <w:color w:val="auto"/>
                <w:szCs w:val="21"/>
                <w:highlight w:val="none"/>
              </w:rPr>
              <w:t xml:space="preserve">5.环境监测预警系统-地下水监测-洗井采样单元：</w:t>
            </w:r>
            <w:r>
              <w:rPr>
                <w:rFonts w:ascii="宋体;SimSun" w:hAnsi="宋体;SimSun" w:eastAsia="宋体;SimSun" w:cs="Times New Roman"/>
                <w:color w:val="auto"/>
                <w:szCs w:val="21"/>
                <w:highlight w:val="none"/>
              </w:rPr>
              <w:t xml:space="preserve"> </w:t>
            </w:r>
            <w:r/>
          </w:p>
          <w:p>
            <w:pPr>
              <w:ind w:firstLine="210"/>
              <w:spacing w:line="360" w:lineRule="exact"/>
              <w:rPr>
                <w:color w:val="auto"/>
                <w:highlight w:val="none"/>
              </w:rPr>
            </w:pPr>
            <w:r>
              <w:rPr>
                <w:rFonts w:ascii="宋体;SimSun" w:hAnsi="宋体;SimSun" w:eastAsia="宋体;SimSun" w:cs="宋体;SimSun"/>
                <w:color w:val="auto"/>
                <w:szCs w:val="21"/>
                <w:highlight w:val="none"/>
              </w:rPr>
              <w:t xml:space="preserve">▲</w:t>
            </w:r>
            <w:r>
              <w:rPr>
                <w:rFonts w:ascii="宋体;SimSun" w:hAnsi="宋体;SimSun" w:eastAsia="宋体;SimSun" w:cs="Times New Roman"/>
                <w:color w:val="auto"/>
                <w:szCs w:val="21"/>
                <w:highlight w:val="none"/>
              </w:rPr>
              <w:t xml:space="preserve">采用低流量潜水采样泵洗井和取样，采样泵扬程不小于45 m，泵外径小于50mm。流速控制：功率、转速可调，20m以内压水扬程下的流速控制范围达到0.1-10L/min，实际流速调节分辨率高于5%RD，0.1L/min下流速波动≤±10%RD，兼顾VOCs等指标低速低扰动采样与大流量洗井抽水需求。（提供第三方检测机构出具的具有CMA或CNAS标识的检测报告并加盖投标人公章。）</w:t>
            </w:r>
            <w:r/>
          </w:p>
          <w:p>
            <w:pPr>
              <w:ind w:firstLine="210"/>
              <w:spacing w:line="360" w:lineRule="exact"/>
              <w:rPr>
                <w:color w:val="auto"/>
                <w:highlight w:val="none"/>
              </w:rPr>
            </w:pPr>
            <w:r>
              <w:rPr>
                <w:rFonts w:ascii="宋体;SimSun" w:hAnsi="宋体;SimSun" w:eastAsia="宋体;SimSun" w:cs="Times New Roman"/>
                <w:color w:val="auto"/>
                <w:szCs w:val="21"/>
                <w:highlight w:val="none"/>
              </w:rPr>
              <w:t xml:space="preserve">6.环境监测预警系统-地表水监测站-氨氮分析仪、高锰酸盐指数分析仪、总磷分析仪、总氮分析仪需同时满足：</w:t>
            </w:r>
            <w:r>
              <w:rPr>
                <w:rFonts w:ascii="宋体;SimSun" w:hAnsi="宋体;SimSun" w:eastAsia="宋体;SimSun" w:cs="Times New Roman"/>
                <w:color w:val="auto"/>
                <w:szCs w:val="21"/>
                <w:highlight w:val="none"/>
              </w:rPr>
              <w:t xml:space="preserve"> </w:t>
            </w:r>
            <w:r/>
          </w:p>
          <w:p>
            <w:pPr>
              <w:ind w:firstLine="210"/>
              <w:spacing w:line="360" w:lineRule="exact"/>
              <w:rPr>
                <w:color w:val="auto"/>
                <w:highlight w:val="none"/>
              </w:rPr>
            </w:pPr>
            <w:r>
              <w:rPr>
                <w:rFonts w:ascii="宋体;SimSun" w:hAnsi="宋体;SimSun" w:eastAsia="宋体;SimSun" w:cs="宋体;SimSun"/>
                <w:color w:val="auto"/>
                <w:szCs w:val="21"/>
                <w:highlight w:val="none"/>
              </w:rPr>
              <w:t xml:space="preserve">▲</w:t>
            </w:r>
            <w:r>
              <w:rPr>
                <w:rFonts w:ascii="宋体;SimSun" w:hAnsi="宋体;SimSun" w:eastAsia="宋体;SimSun" w:cs="Times New Roman"/>
                <w:color w:val="auto"/>
                <w:szCs w:val="21"/>
                <w:highlight w:val="none"/>
              </w:rPr>
              <w:t xml:space="preserve">取样和定量系统具有光电计量功能，采用光电计量传感器与自带驱动的柱塞泵组合定量取样方式，定量/计量不受液体浊度、色度、悬浮物、粘度等影响，同时可以对取样状态进行判断，保证定量准确、有效；取样/计量核心动力泵与试剂/样品非接触，无泵管老化、衰减、堵塞等问题，无泵管消耗。（提供第三方检测（或计量）机构出具的检测（或评价分析）报告扫描件并加盖投标人公章）。</w:t>
            </w:r>
            <w:r/>
          </w:p>
          <w:p>
            <w:pPr>
              <w:ind w:firstLine="210"/>
              <w:spacing w:line="360" w:lineRule="exact"/>
              <w:rPr>
                <w:color w:val="auto"/>
                <w:highlight w:val="none"/>
              </w:rPr>
            </w:pPr>
            <w:r>
              <w:rPr>
                <w:rFonts w:ascii="宋体;SimSun" w:hAnsi="宋体;SimSun" w:eastAsia="宋体;SimSun" w:cs="Times New Roman"/>
                <w:color w:val="auto"/>
                <w:szCs w:val="21"/>
                <w:highlight w:val="none"/>
              </w:rPr>
              <w:t xml:space="preserve">7.环境监测预警系统-上风向标准站</w:t>
            </w:r>
            <w:r>
              <w:rPr>
                <w:rFonts w:ascii="宋体;SimSun" w:hAnsi="宋体;SimSun" w:eastAsia="宋体;SimSun" w:cs="Times New Roman"/>
                <w:b/>
                <w:bCs/>
                <w:color w:val="auto"/>
                <w:szCs w:val="21"/>
                <w:highlight w:val="none"/>
              </w:rPr>
              <w:t xml:space="preserve">-</w:t>
            </w:r>
            <w:r>
              <w:rPr>
                <w:rFonts w:ascii="宋体;SimSun" w:hAnsi="宋体;SimSun" w:eastAsia="宋体;SimSun" w:cs="Times New Roman"/>
                <w:color w:val="auto"/>
                <w:szCs w:val="21"/>
                <w:highlight w:val="none"/>
              </w:rPr>
              <w:t xml:space="preserve">PM2.5分析仪：</w:t>
            </w:r>
            <w:r>
              <w:rPr>
                <w:rFonts w:ascii="宋体;SimSun" w:hAnsi="宋体;SimSun" w:eastAsia="宋体;SimSun" w:cs="Times New Roman"/>
                <w:color w:val="auto"/>
                <w:szCs w:val="21"/>
                <w:highlight w:val="none"/>
              </w:rPr>
              <w:t xml:space="preserve"> </w:t>
            </w:r>
            <w:r/>
          </w:p>
          <w:p>
            <w:pPr>
              <w:ind w:firstLine="210"/>
              <w:spacing w:line="360" w:lineRule="exact"/>
              <w:rPr>
                <w:color w:val="auto"/>
                <w:highlight w:val="none"/>
              </w:rPr>
            </w:pPr>
            <w:r>
              <w:rPr>
                <w:rFonts w:ascii="宋体;SimSun" w:hAnsi="宋体;SimSun" w:eastAsia="宋体;SimSun" w:cs="宋体;SimSun"/>
                <w:color w:val="auto"/>
                <w:szCs w:val="21"/>
                <w:highlight w:val="none"/>
              </w:rPr>
              <w:t xml:space="preserve">▲</w:t>
            </w:r>
            <w:r>
              <w:rPr>
                <w:rFonts w:ascii="宋体;SimSun" w:hAnsi="宋体;SimSun" w:eastAsia="宋体;SimSun" w:cs="Times New Roman"/>
                <w:color w:val="auto"/>
                <w:szCs w:val="21"/>
                <w:highlight w:val="none"/>
              </w:rPr>
              <w:t xml:space="preserve">校准膜示值误差：校准膜示值误差：±0.5%；温度测量示值误差：±0.5℃；湿度测量示值误差：±2%RH；时钟误差：±1s；流量测试：平均流量偏差±0.3%，流量相对标准偏差≤0.2%，平均流量示值误差≤0.3%；有效数据率：≥99.9%；（提供第三方检测机构出具的具有CMA或CNAS标识的检测报告扫描件并加盖投标人公章）</w:t>
            </w:r>
            <w:r/>
          </w:p>
          <w:p>
            <w:pPr>
              <w:ind w:firstLine="210"/>
              <w:spacing w:line="360" w:lineRule="exact"/>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8.网络及云服务-网闸： </w:t>
            </w:r>
            <w:r/>
          </w:p>
          <w:p>
            <w:pPr>
              <w:ind w:firstLine="210"/>
              <w:spacing w:line="360" w:lineRule="exact"/>
              <w:rPr>
                <w:color w:val="auto"/>
                <w:highlight w:val="none"/>
              </w:rPr>
            </w:pPr>
            <w:r>
              <w:rPr>
                <w:rFonts w:ascii="宋体;SimSun" w:hAnsi="宋体;SimSun" w:eastAsia="宋体;SimSun" w:cs="宋体;SimSun"/>
                <w:color w:val="auto"/>
                <w:szCs w:val="21"/>
                <w:highlight w:val="none"/>
              </w:rPr>
              <w:t xml:space="preserve">▲</w:t>
            </w:r>
            <w:r>
              <w:rPr>
                <w:rFonts w:ascii="宋体;SimSun" w:hAnsi="宋体;SimSun" w:eastAsia="宋体;SimSun" w:cs="Times New Roman"/>
                <w:color w:val="auto"/>
                <w:szCs w:val="21"/>
                <w:highlight w:val="none"/>
              </w:rPr>
              <w:t xml:space="preserve">产品应具备完善的安全审计功能，能够支持以下内容，审计数据生成、安全审计分析、用户身份关联、审计记录管理、限制审计记录访问、防止审计数据丢失等。（提供第三方检测机构出具的具有CMA或CNAS标识的检测报告扫描件并加盖投标人公章）</w:t>
            </w:r>
            <w:r/>
          </w:p>
          <w:p>
            <w:pPr>
              <w:ind w:firstLine="210"/>
              <w:spacing w:line="360" w:lineRule="exact"/>
              <w:rPr>
                <w:color w:val="auto"/>
                <w:highlight w:val="none"/>
              </w:rPr>
            </w:pPr>
            <w:r>
              <w:rPr>
                <w:rFonts w:ascii="宋体;SimSun" w:hAnsi="宋体;SimSun" w:eastAsia="宋体;SimSun" w:cs="宋体;SimSun"/>
                <w:color w:val="auto"/>
                <w:szCs w:val="21"/>
                <w:highlight w:val="none"/>
              </w:rPr>
              <w:t xml:space="preserve">▲</w:t>
            </w:r>
            <w:r>
              <w:rPr>
                <w:rFonts w:ascii="宋体;SimSun" w:hAnsi="宋体;SimSun" w:eastAsia="宋体;SimSun" w:cs="Times New Roman"/>
                <w:color w:val="auto"/>
                <w:szCs w:val="21"/>
                <w:highlight w:val="none"/>
              </w:rPr>
              <w:t xml:space="preserve">产品应具备完善的标识和鉴别功能，支持敏感标记、安全属性定义、属性初始化、属性修改、属性查询、鉴别数据初始化、鉴别时机、多鉴别机制、鉴别失败处理、抗重放、受保护的鉴别反馈、口令强度等。（提供第三方检测机构出具的具有CMA或CNAS标识的检测报告扫描件并加盖投标人公章）</w:t>
            </w:r>
            <w:r/>
          </w:p>
        </w:tc>
      </w:tr>
    </w:tbl>
    <w:p>
      <w:pPr>
        <w:ind w:firstLine="482"/>
        <w:rPr>
          <w:rFonts w:ascii="宋体;SimSun" w:hAnsi="宋体;SimSun" w:eastAsia="宋体;SimSun" w:cs="宋体;SimSun"/>
          <w:b/>
          <w:bCs/>
          <w:color w:val="auto"/>
          <w:sz w:val="24"/>
          <w:highlight w:val="none"/>
        </w:rPr>
      </w:pPr>
      <w:r>
        <w:rPr>
          <w:rFonts w:ascii="宋体;SimSun" w:hAnsi="宋体;SimSun" w:eastAsia="宋体;SimSun" w:cs="宋体;SimSun"/>
          <w:b/>
          <w:bCs/>
          <w:color w:val="auto"/>
          <w:sz w:val="24"/>
          <w:highlight w:val="none"/>
        </w:rPr>
        <w:t xml:space="preserve">五、中标标准：</w:t>
      </w:r>
      <w:r/>
    </w:p>
    <w:p>
      <w:pPr>
        <w:ind w:firstLine="480"/>
        <w:spacing w:line="360" w:lineRule="auto"/>
        <w:rPr>
          <w:color w:val="auto"/>
          <w:highlight w:val="none"/>
        </w:rPr>
        <w:sectPr>
          <w:headerReference w:type="default" r:id="rId9"/>
          <w:footerReference w:type="default" r:id="rId19"/>
          <w:footnotePr/>
          <w:endnotePr/>
          <w:type w:val="nextPage"/>
          <w:pgSz w:w="11906" w:h="16838" w:orient="portrait"/>
          <w:pgMar w:top="1134" w:right="1134" w:bottom="1134" w:left="1134" w:header="851" w:footer="992" w:gutter="0"/>
          <w:pgNumType w:start="1"/>
          <w:cols w:num="1" w:sep="0" w:space="720" w:equalWidth="1"/>
          <w:docGrid w:linePitch="360"/>
        </w:sectPr>
      </w:pPr>
      <w:r>
        <w:rPr>
          <w:color w:val="auto"/>
          <w:highlight w:val="none"/>
        </w:rPr>
        <w:t xml:space="preserve">评标结果按评审后得分由高到低顺序排列。得分相同的，按投标报价由低到高顺序排列。得分且投标报价相同的，名次并列。投标文件满足招标文件全部实质性要求，且按照评审因素的量化指标评审得分最高的投标人为排名第一的中标候选人。</w:t>
      </w:r>
      <w:r/>
    </w:p>
    <w:p>
      <w:pPr>
        <w:pStyle w:val="996"/>
        <w:jc w:val="center"/>
        <w:spacing w:line="360" w:lineRule="auto"/>
        <w:rPr>
          <w:rFonts w:ascii="宋体;SimSun" w:hAnsi="宋体;SimSun" w:eastAsia="宋体;SimSun" w:cs="宋体;SimSun"/>
          <w:b w:val="0"/>
          <w:color w:val="auto"/>
          <w:highlight w:val="none"/>
        </w:rPr>
      </w:pPr>
      <w:r/>
      <w:bookmarkStart w:id="5" w:name="__RefHeading___Toc162361615"/>
      <w:r/>
      <w:bookmarkEnd w:id="5"/>
      <w:r>
        <w:rPr>
          <w:rFonts w:ascii="宋体;SimSun" w:hAnsi="宋体;SimSun" w:eastAsia="宋体;SimSun" w:cs="宋体;SimSun"/>
          <w:b w:val="0"/>
          <w:color w:val="auto"/>
          <w:highlight w:val="none"/>
        </w:rPr>
        <w:t xml:space="preserve">第六章 投标文件格式</w:t>
      </w:r>
      <w:r/>
    </w:p>
    <w:p>
      <w:pPr>
        <w:jc w:val="left"/>
        <w:spacing w:line="500" w:lineRule="exact"/>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r>
      <w:r/>
    </w:p>
    <w:p>
      <w:pPr>
        <w:jc w:val="center"/>
        <w:rPr>
          <w:rFonts w:ascii="宋体;SimSun" w:hAnsi="宋体;SimSun" w:eastAsia="宋体;SimSun" w:cs="宋体;SimSun"/>
          <w:b/>
          <w:color w:val="auto"/>
          <w:sz w:val="52"/>
          <w:szCs w:val="52"/>
          <w:highlight w:val="none"/>
        </w:rPr>
      </w:pPr>
      <w:r>
        <w:rPr>
          <w:rFonts w:ascii="宋体;SimSun" w:hAnsi="宋体;SimSun" w:eastAsia="宋体;SimSun" w:cs="宋体;SimSun"/>
          <w:b/>
          <w:color w:val="auto"/>
          <w:sz w:val="52"/>
          <w:szCs w:val="52"/>
          <w:highlight w:val="none"/>
        </w:rPr>
        <w:t xml:space="preserve">连 云 港 市 政 府 采 购</w:t>
      </w:r>
      <w:r/>
    </w:p>
    <w:p>
      <w:pPr>
        <w:pStyle w:val="1010"/>
        <w:rPr>
          <w:rFonts w:ascii="宋体;SimSun" w:hAnsi="宋体;SimSun" w:eastAsia="宋体;SimSun" w:cs="宋体;SimSun"/>
          <w:b w:val="0"/>
          <w:color w:val="auto"/>
          <w:sz w:val="52"/>
          <w:szCs w:val="52"/>
          <w:highlight w:val="none"/>
        </w:rPr>
      </w:pPr>
      <w:r>
        <w:rPr>
          <w:rFonts w:ascii="宋体;SimSun" w:hAnsi="宋体;SimSun" w:eastAsia="宋体;SimSun" w:cs="宋体;SimSun"/>
          <w:b w:val="0"/>
          <w:color w:val="auto"/>
          <w:sz w:val="52"/>
          <w:szCs w:val="52"/>
          <w:highlight w:val="none"/>
        </w:rPr>
      </w:r>
      <w:r/>
    </w:p>
    <w:p>
      <w:pPr>
        <w:rPr>
          <w:rFonts w:ascii="宋体;SimSun" w:hAnsi="宋体;SimSun" w:eastAsia="宋体;SimSun" w:cs="宋体;SimSun"/>
          <w:b/>
          <w:color w:val="auto"/>
          <w:sz w:val="52"/>
          <w:szCs w:val="52"/>
          <w:highlight w:val="none"/>
        </w:rPr>
      </w:pPr>
      <w:r>
        <w:rPr>
          <w:rFonts w:ascii="宋体;SimSun" w:hAnsi="宋体;SimSun" w:eastAsia="宋体;SimSun" w:cs="宋体;SimSun"/>
          <w:b/>
          <w:color w:val="auto"/>
          <w:sz w:val="52"/>
          <w:szCs w:val="52"/>
          <w:highlight w:val="none"/>
        </w:rPr>
      </w:r>
      <w:r/>
    </w:p>
    <w:p>
      <w:pPr>
        <w:jc w:val="center"/>
        <w:rPr>
          <w:rFonts w:ascii="宋体;SimSun" w:hAnsi="宋体;SimSun" w:eastAsia="宋体;SimSun" w:cs="宋体;SimSun"/>
          <w:b/>
          <w:color w:val="auto"/>
          <w:sz w:val="72"/>
          <w:szCs w:val="21"/>
          <w:highlight w:val="none"/>
        </w:rPr>
      </w:pPr>
      <w:r>
        <w:rPr>
          <w:rFonts w:ascii="宋体;SimSun" w:hAnsi="宋体;SimSun" w:eastAsia="宋体;SimSun" w:cs="宋体;SimSun"/>
          <w:b/>
          <w:color w:val="auto"/>
          <w:sz w:val="72"/>
          <w:szCs w:val="21"/>
          <w:highlight w:val="none"/>
        </w:rPr>
        <w:t xml:space="preserve">投标文件</w:t>
      </w:r>
      <w:r/>
    </w:p>
    <w:p>
      <w:pPr>
        <w:ind w:firstLine="1084"/>
        <w:rPr>
          <w:rFonts w:ascii="宋体;SimSun" w:hAnsi="宋体;SimSun" w:eastAsia="宋体;SimSun" w:cs="宋体;SimSun"/>
          <w:b/>
          <w:color w:val="auto"/>
          <w:sz w:val="36"/>
          <w:szCs w:val="21"/>
          <w:highlight w:val="none"/>
        </w:rPr>
      </w:pPr>
      <w:r>
        <w:rPr>
          <w:rFonts w:ascii="宋体;SimSun" w:hAnsi="宋体;SimSun" w:eastAsia="宋体;SimSun" w:cs="宋体;SimSun"/>
          <w:b/>
          <w:color w:val="auto"/>
          <w:sz w:val="36"/>
          <w:szCs w:val="21"/>
          <w:highlight w:val="none"/>
        </w:rPr>
      </w:r>
      <w:r/>
    </w:p>
    <w:p>
      <w:pPr>
        <w:pStyle w:val="1120"/>
        <w:rPr>
          <w:rFonts w:ascii="宋体;SimSun" w:hAnsi="宋体;SimSun" w:cs="宋体;SimSun"/>
          <w:b/>
          <w:color w:val="auto"/>
          <w:sz w:val="36"/>
          <w:szCs w:val="21"/>
          <w:highlight w:val="none"/>
        </w:rPr>
      </w:pPr>
      <w:r>
        <w:rPr>
          <w:rFonts w:ascii="宋体;SimSun" w:hAnsi="宋体;SimSun" w:cs="宋体;SimSun"/>
          <w:b/>
          <w:color w:val="auto"/>
          <w:sz w:val="36"/>
          <w:szCs w:val="21"/>
          <w:highlight w:val="none"/>
        </w:rPr>
      </w:r>
      <w:r/>
    </w:p>
    <w:p>
      <w:pPr>
        <w:pStyle w:val="1120"/>
        <w:rPr>
          <w:rFonts w:ascii="宋体;SimSun" w:hAnsi="宋体;SimSun" w:cs="宋体;SimSun"/>
          <w:b/>
          <w:color w:val="auto"/>
          <w:sz w:val="36"/>
          <w:szCs w:val="21"/>
          <w:highlight w:val="none"/>
        </w:rPr>
      </w:pPr>
      <w:r>
        <w:rPr>
          <w:rFonts w:ascii="宋体;SimSun" w:hAnsi="宋体;SimSun" w:cs="宋体;SimSun"/>
          <w:b/>
          <w:color w:val="auto"/>
          <w:sz w:val="36"/>
          <w:szCs w:val="21"/>
          <w:highlight w:val="none"/>
        </w:rPr>
      </w:r>
      <w:r/>
    </w:p>
    <w:p>
      <w:pPr>
        <w:pStyle w:val="1120"/>
        <w:rPr>
          <w:rFonts w:ascii="宋体;SimSun" w:hAnsi="宋体;SimSun" w:cs="宋体;SimSun"/>
          <w:color w:val="auto"/>
          <w:highlight w:val="none"/>
        </w:rPr>
      </w:pPr>
      <w:r>
        <w:rPr>
          <w:rFonts w:ascii="宋体;SimSun" w:hAnsi="宋体;SimSun" w:cs="宋体;SimSun"/>
          <w:color w:val="auto"/>
          <w:highlight w:val="none"/>
        </w:rPr>
      </w:r>
      <w:r/>
    </w:p>
    <w:p>
      <w:pPr>
        <w:pStyle w:val="1120"/>
        <w:rPr>
          <w:rFonts w:ascii="宋体;SimSun" w:hAnsi="宋体;SimSun" w:cs="宋体;SimSun"/>
          <w:color w:val="auto"/>
          <w:highlight w:val="none"/>
        </w:rPr>
      </w:pPr>
      <w:r>
        <w:rPr>
          <w:rFonts w:ascii="宋体;SimSun" w:hAnsi="宋体;SimSun" w:cs="宋体;SimSun"/>
          <w:color w:val="auto"/>
          <w:highlight w:val="none"/>
        </w:rPr>
      </w:r>
      <w:r/>
    </w:p>
    <w:p>
      <w:pPr>
        <w:pStyle w:val="1120"/>
        <w:rPr>
          <w:rFonts w:ascii="宋体;SimSun" w:hAnsi="宋体;SimSun" w:cs="宋体;SimSun"/>
          <w:color w:val="auto"/>
          <w:highlight w:val="none"/>
        </w:rPr>
      </w:pPr>
      <w:r>
        <w:rPr>
          <w:rFonts w:ascii="宋体;SimSun" w:hAnsi="宋体;SimSun" w:cs="宋体;SimSun"/>
          <w:color w:val="auto"/>
          <w:highlight w:val="none"/>
        </w:rPr>
      </w:r>
      <w:r/>
    </w:p>
    <w:p>
      <w:pPr>
        <w:pStyle w:val="1120"/>
        <w:rPr>
          <w:rFonts w:ascii="宋体;SimSun" w:hAnsi="宋体;SimSun" w:cs="宋体;SimSun"/>
          <w:color w:val="auto"/>
          <w:highlight w:val="none"/>
        </w:rPr>
      </w:pPr>
      <w:r>
        <w:rPr>
          <w:rFonts w:ascii="宋体;SimSun" w:hAnsi="宋体;SimSun" w:cs="宋体;SimSun"/>
          <w:color w:val="auto"/>
          <w:highlight w:val="none"/>
        </w:rPr>
      </w:r>
      <w:r/>
    </w:p>
    <w:p>
      <w:pPr>
        <w:ind w:firstLine="1084"/>
        <w:rPr>
          <w:rFonts w:ascii="宋体;SimSun" w:hAnsi="宋体;SimSun" w:eastAsia="宋体;SimSun" w:cs="宋体;SimSun"/>
          <w:b/>
          <w:color w:val="auto"/>
          <w:sz w:val="36"/>
          <w:szCs w:val="21"/>
          <w:highlight w:val="none"/>
        </w:rPr>
      </w:pPr>
      <w:r>
        <w:rPr>
          <w:rFonts w:ascii="宋体;SimSun" w:hAnsi="宋体;SimSun" w:eastAsia="宋体;SimSun" w:cs="宋体;SimSun"/>
          <w:b/>
          <w:color w:val="auto"/>
          <w:sz w:val="36"/>
          <w:szCs w:val="21"/>
          <w:highlight w:val="none"/>
        </w:rPr>
      </w:r>
      <w:r/>
    </w:p>
    <w:p>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 xml:space="preserve">标 段 名 称：</w:t>
      </w:r>
      <w:r/>
    </w:p>
    <w:p>
      <w:pPr>
        <w:pStyle w:val="1120"/>
        <w:rPr>
          <w:rFonts w:ascii="宋体;SimSun" w:hAnsi="宋体;SimSun" w:cs="宋体;SimSun"/>
          <w:b/>
          <w:color w:val="auto"/>
          <w:sz w:val="32"/>
          <w:szCs w:val="32"/>
          <w:highlight w:val="none"/>
        </w:rPr>
      </w:pPr>
      <w:r>
        <w:rPr>
          <w:rFonts w:ascii="宋体;SimSun" w:hAnsi="宋体;SimSun" w:cs="宋体;SimSun"/>
          <w:b/>
          <w:color w:val="auto"/>
          <w:sz w:val="32"/>
          <w:szCs w:val="32"/>
          <w:highlight w:val="none"/>
        </w:rPr>
      </w:r>
      <w:r/>
    </w:p>
    <w:p>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 xml:space="preserve">标 段 编 号：</w:t>
      </w:r>
      <w:r/>
    </w:p>
    <w:p>
      <w:pPr>
        <w:pStyle w:val="1120"/>
        <w:rPr>
          <w:rFonts w:ascii="宋体;SimSun" w:hAnsi="宋体;SimSun" w:cs="宋体;SimSun"/>
          <w:b/>
          <w:color w:val="auto"/>
          <w:sz w:val="32"/>
          <w:szCs w:val="32"/>
          <w:highlight w:val="none"/>
        </w:rPr>
      </w:pPr>
      <w:r>
        <w:rPr>
          <w:rFonts w:ascii="宋体;SimSun" w:hAnsi="宋体;SimSun" w:cs="宋体;SimSun"/>
          <w:b/>
          <w:color w:val="auto"/>
          <w:sz w:val="32"/>
          <w:szCs w:val="32"/>
          <w:highlight w:val="none"/>
        </w:rPr>
      </w:r>
      <w:r/>
    </w:p>
    <w:p>
      <w:pPr>
        <w:pStyle w:val="1120"/>
        <w:rPr>
          <w:rFonts w:ascii="宋体;SimSun" w:hAnsi="宋体;SimSun" w:cs="宋体;SimSun"/>
          <w:b/>
          <w:color w:val="auto"/>
          <w:sz w:val="32"/>
          <w:szCs w:val="32"/>
          <w:highlight w:val="none"/>
        </w:rPr>
      </w:pPr>
      <w:r>
        <w:rPr>
          <w:rFonts w:ascii="宋体;SimSun" w:hAnsi="宋体;SimSun" w:cs="宋体;SimSun"/>
          <w:b/>
          <w:color w:val="auto"/>
          <w:sz w:val="32"/>
          <w:szCs w:val="32"/>
          <w:highlight w:val="none"/>
        </w:rPr>
      </w:r>
      <w:r/>
    </w:p>
    <w:p>
      <w:pPr>
        <w:pStyle w:val="1120"/>
        <w:rPr>
          <w:rFonts w:ascii="宋体;SimSun" w:hAnsi="宋体;SimSun" w:cs="宋体;SimSun"/>
          <w:b/>
          <w:color w:val="auto"/>
          <w:sz w:val="32"/>
          <w:szCs w:val="32"/>
          <w:highlight w:val="none"/>
        </w:rPr>
      </w:pPr>
      <w:r>
        <w:rPr>
          <w:rFonts w:ascii="宋体;SimSun" w:hAnsi="宋体;SimSun" w:cs="宋体;SimSun"/>
          <w:b/>
          <w:color w:val="auto"/>
          <w:sz w:val="32"/>
          <w:szCs w:val="32"/>
          <w:highlight w:val="none"/>
        </w:rPr>
      </w:r>
      <w:r/>
    </w:p>
    <w:p>
      <w:pPr>
        <w:pStyle w:val="1120"/>
        <w:rPr>
          <w:rFonts w:ascii="宋体;SimSun" w:hAnsi="宋体;SimSun" w:cs="宋体;SimSun"/>
          <w:b/>
          <w:color w:val="auto"/>
          <w:sz w:val="32"/>
          <w:szCs w:val="32"/>
          <w:highlight w:val="none"/>
        </w:rPr>
      </w:pPr>
      <w:r>
        <w:rPr>
          <w:rFonts w:ascii="宋体;SimSun" w:hAnsi="宋体;SimSun" w:cs="宋体;SimSun"/>
          <w:b/>
          <w:color w:val="auto"/>
          <w:sz w:val="32"/>
          <w:szCs w:val="32"/>
          <w:highlight w:val="none"/>
        </w:rPr>
      </w:r>
      <w:r/>
    </w:p>
    <w:p>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 xml:space="preserve">投标人名称：</w:t>
      </w:r>
      <w:r/>
    </w:p>
    <w:p>
      <w:pPr>
        <w:pStyle w:val="1120"/>
        <w:rPr>
          <w:rFonts w:ascii="宋体;SimSun" w:hAnsi="宋体;SimSun" w:cs="宋体;SimSun"/>
          <w:b/>
          <w:color w:val="auto"/>
          <w:sz w:val="32"/>
          <w:szCs w:val="32"/>
          <w:highlight w:val="none"/>
        </w:rPr>
      </w:pPr>
      <w:r>
        <w:rPr>
          <w:rFonts w:ascii="宋体;SimSun" w:hAnsi="宋体;SimSun" w:cs="宋体;SimSun"/>
          <w:b/>
          <w:color w:val="auto"/>
          <w:sz w:val="32"/>
          <w:szCs w:val="32"/>
          <w:highlight w:val="none"/>
        </w:rPr>
      </w:r>
      <w:r/>
    </w:p>
    <w:p>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 xml:space="preserve">投标人地址： </w:t>
      </w:r>
      <w:r/>
    </w:p>
    <w:p>
      <w:pPr>
        <w:pStyle w:val="1120"/>
        <w:rPr>
          <w:rFonts w:ascii="宋体;SimSun" w:hAnsi="宋体;SimSun" w:cs="宋体;SimSun"/>
          <w:b/>
          <w:color w:val="auto"/>
          <w:sz w:val="32"/>
          <w:szCs w:val="32"/>
          <w:highlight w:val="none"/>
        </w:rPr>
      </w:pPr>
      <w:r>
        <w:rPr>
          <w:rFonts w:ascii="宋体;SimSun" w:hAnsi="宋体;SimSun" w:cs="宋体;SimSun"/>
          <w:b/>
          <w:color w:val="auto"/>
          <w:sz w:val="32"/>
          <w:szCs w:val="32"/>
          <w:highlight w:val="none"/>
        </w:rPr>
      </w:r>
      <w:r/>
    </w:p>
    <w:p>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 xml:space="preserve">法定代表人：</w:t>
      </w:r>
      <w:r/>
    </w:p>
    <w:p>
      <w:pPr>
        <w:pStyle w:val="1120"/>
        <w:rPr>
          <w:rFonts w:ascii="宋体;SimSun" w:hAnsi="宋体;SimSun" w:cs="宋体;SimSun"/>
          <w:b/>
          <w:color w:val="auto"/>
          <w:sz w:val="32"/>
          <w:szCs w:val="32"/>
          <w:highlight w:val="none"/>
        </w:rPr>
      </w:pPr>
      <w:r>
        <w:rPr>
          <w:rFonts w:ascii="宋体;SimSun" w:hAnsi="宋体;SimSun" w:cs="宋体;SimSun"/>
          <w:b/>
          <w:color w:val="auto"/>
          <w:sz w:val="32"/>
          <w:szCs w:val="32"/>
          <w:highlight w:val="none"/>
        </w:rPr>
      </w:r>
      <w:r/>
    </w:p>
    <w:p>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 xml:space="preserve">日 期：</w:t>
      </w:r>
      <w:r/>
    </w:p>
    <w:p>
      <w:pPr>
        <w:rPr>
          <w:rFonts w:ascii="宋体;SimSun" w:hAnsi="宋体;SimSun" w:eastAsia="宋体;SimSun" w:cs="宋体;SimSun"/>
          <w:b/>
          <w:color w:val="auto"/>
          <w:sz w:val="36"/>
          <w:szCs w:val="36"/>
          <w:highlight w:val="none"/>
        </w:rPr>
      </w:pPr>
      <w:r>
        <w:rPr>
          <w:rFonts w:ascii="宋体;SimSun" w:hAnsi="宋体;SimSun" w:eastAsia="宋体;SimSun" w:cs="宋体;SimSun"/>
          <w:b/>
          <w:color w:val="auto"/>
          <w:sz w:val="36"/>
          <w:szCs w:val="36"/>
          <w:highlight w:val="none"/>
        </w:rPr>
      </w:r>
      <w:r/>
    </w:p>
    <w:p>
      <w:pPr>
        <w:jc w:val="left"/>
        <w:keepLines/>
        <w:keepNext/>
        <w:spacing w:before="360" w:after="200" w:line="360" w:lineRule="auto"/>
        <w:rPr>
          <w:rFonts w:ascii="宋体;SimSun" w:hAnsi="宋体;SimSun" w:eastAsia="宋体;SimSun" w:cs="宋体;SimSun"/>
          <w:b/>
          <w:color w:val="auto"/>
          <w:sz w:val="36"/>
          <w:szCs w:val="36"/>
          <w:highlight w:val="none"/>
        </w:rPr>
        <w:outlineLvl w:val="1"/>
      </w:pPr>
      <w:r>
        <w:rPr>
          <w:rFonts w:ascii="宋体;SimSun" w:hAnsi="宋体;SimSun" w:eastAsia="宋体;SimSun" w:cs="宋体;SimSun"/>
          <w:b/>
          <w:color w:val="auto"/>
          <w:sz w:val="36"/>
          <w:szCs w:val="36"/>
          <w:highlight w:val="none"/>
        </w:rPr>
        <w:t xml:space="preserve">一、法人或者其他组织的营业执照等证明文件，自然人的身份证明</w:t>
      </w:r>
      <w:r/>
    </w:p>
    <w:p>
      <w:pPr>
        <w:rPr>
          <w:rFonts w:ascii="宋体;SimSun" w:hAnsi="宋体;SimSun" w:eastAsia="宋体;SimSun" w:cs="宋体;SimSun"/>
          <w:b/>
          <w:color w:val="auto"/>
          <w:sz w:val="36"/>
          <w:szCs w:val="36"/>
          <w:highlight w:val="none"/>
        </w:rPr>
      </w:pPr>
      <w:r>
        <w:rPr>
          <w:rFonts w:ascii="宋体;SimSun" w:hAnsi="宋体;SimSun" w:eastAsia="宋体;SimSun" w:cs="宋体;SimSun"/>
          <w:b/>
          <w:color w:val="auto"/>
          <w:sz w:val="36"/>
          <w:szCs w:val="36"/>
          <w:highlight w:val="none"/>
        </w:rPr>
      </w:r>
      <w:r/>
    </w:p>
    <w:p>
      <w:pPr>
        <w:rPr>
          <w:rFonts w:ascii="宋体;SimSun" w:hAnsi="宋体;SimSun" w:eastAsia="宋体;SimSun" w:cs="宋体;SimSun"/>
          <w:b/>
          <w:color w:val="auto"/>
          <w:sz w:val="36"/>
          <w:szCs w:val="36"/>
          <w:highlight w:val="none"/>
        </w:rPr>
      </w:pPr>
      <w:r>
        <w:rPr>
          <w:rFonts w:ascii="宋体;SimSun" w:hAnsi="宋体;SimSun" w:eastAsia="宋体;SimSun" w:cs="宋体;SimSun"/>
          <w:b/>
          <w:color w:val="auto"/>
          <w:sz w:val="36"/>
          <w:szCs w:val="36"/>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jc w:val="left"/>
        <w:spacing w:line="500" w:lineRule="exact"/>
        <w:rPr>
          <w:color w:val="auto"/>
          <w:highlight w:val="none"/>
        </w:rPr>
      </w:pPr>
      <w:r>
        <w:rPr>
          <w:rFonts w:ascii="宋体;SimSun" w:hAnsi="宋体;SimSun" w:eastAsia="宋体;SimSun" w:cs="宋体;SimSun"/>
          <w:b/>
          <w:color w:val="auto"/>
          <w:sz w:val="36"/>
          <w:highlight w:val="none"/>
        </w:rPr>
        <w:t xml:space="preserve">二、上一年度的财务状况报告</w:t>
      </w:r>
      <w:r>
        <w:rPr>
          <w:rFonts w:ascii="宋体;SimSun" w:hAnsi="宋体;SimSun" w:eastAsia="宋体;SimSun" w:cs="宋体;SimSun"/>
          <w:color w:val="auto"/>
          <w:sz w:val="24"/>
          <w:szCs w:val="24"/>
          <w:highlight w:val="none"/>
        </w:rPr>
        <w:t xml:space="preserve">（成立不满一年无需提供）</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根据连财购〔2023〕4号文件精神，可以提供《财务状况报告及税收、社会保障资金缴纳情况承诺函》</w:t>
      </w:r>
      <w:r/>
    </w:p>
    <w:p>
      <w:pPr>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三、依法缴纳税收和社会保障资金的相关材料</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b/>
          <w:color w:val="auto"/>
          <w:sz w:val="24"/>
          <w:szCs w:val="24"/>
          <w:highlight w:val="none"/>
        </w:rPr>
      </w:pPr>
      <w:r>
        <w:rPr>
          <w:color w:val="auto"/>
          <w:highlight w:val="none"/>
        </w:rPr>
        <w:br w:type="page" w:clear="all"/>
      </w:r>
      <w:r/>
    </w:p>
    <w:p>
      <w:pPr>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r>
      <w:r/>
    </w:p>
    <w:p>
      <w:pPr>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 xml:space="preserve">承诺函：</w:t>
      </w:r>
      <w:r/>
    </w:p>
    <w:p>
      <w:pPr>
        <w:jc w:val="center"/>
        <w:spacing w:line="360" w:lineRule="auto"/>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 xml:space="preserve">财务状况报告及税收、社会保障资金缴纳情况承诺函</w:t>
      </w:r>
      <w:r/>
    </w:p>
    <w:p>
      <w:pPr>
        <w:jc w:val="left"/>
        <w:rPr>
          <w:rFonts w:ascii="宋体;SimSun" w:hAnsi="宋体;SimSun" w:eastAsia="宋体;SimSun" w:cs="宋体;SimSun"/>
          <w:bCs/>
          <w:color w:val="auto"/>
          <w:sz w:val="36"/>
          <w:szCs w:val="24"/>
          <w:highlight w:val="none"/>
        </w:rPr>
      </w:pPr>
      <w:r>
        <w:rPr>
          <w:rFonts w:ascii="宋体;SimSun" w:hAnsi="宋体;SimSun" w:eastAsia="宋体;SimSun" w:cs="宋体;SimSun"/>
          <w:bCs/>
          <w:color w:val="auto"/>
          <w:sz w:val="36"/>
          <w:szCs w:val="24"/>
          <w:highlight w:val="none"/>
        </w:rPr>
      </w:r>
      <w:r/>
    </w:p>
    <w:p>
      <w:pPr>
        <w:jc w:val="left"/>
        <w:spacing w:line="500" w:lineRule="exact"/>
        <w:rPr>
          <w:color w:val="auto"/>
          <w:highlight w:val="none"/>
        </w:rPr>
      </w:pPr>
      <w:r>
        <w:rPr>
          <w:rFonts w:ascii="宋体;SimSun" w:hAnsi="宋体;SimSun" w:eastAsia="宋体;SimSun" w:cs="宋体;SimSun"/>
          <w:color w:val="auto"/>
          <w:sz w:val="24"/>
          <w:szCs w:val="24"/>
          <w:highlight w:val="none"/>
        </w:rPr>
        <w:t xml:space="preserve">致：</w:t>
      </w:r>
      <w:r>
        <w:rPr>
          <w:rFonts w:ascii="宋体;SimSun" w:hAnsi="宋体;SimSun" w:eastAsia="宋体;SimSun" w:cs="宋体;SimSun"/>
          <w:color w:val="auto"/>
          <w:sz w:val="24"/>
          <w:szCs w:val="24"/>
          <w:highlight w:val="none"/>
          <w:u w:val="single"/>
        </w:rPr>
        <w:t xml:space="preserve">采购人名称</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我方</w:t>
      </w:r>
      <w:r>
        <w:rPr>
          <w:rFonts w:ascii="宋体;SimSun" w:hAnsi="宋体;SimSun" w:eastAsia="宋体;SimSun" w:cs="宋体;SimSun"/>
          <w:color w:val="auto"/>
          <w:sz w:val="24"/>
          <w:szCs w:val="24"/>
          <w:highlight w:val="none"/>
          <w:u w:val="single"/>
        </w:rPr>
        <w:t xml:space="preserve">供应商名称</w:t>
      </w:r>
      <w:r>
        <w:rPr>
          <w:rFonts w:ascii="宋体;SimSun" w:hAnsi="宋体;SimSun" w:eastAsia="宋体;SimSun" w:cs="宋体;SimSun"/>
          <w:color w:val="auto"/>
          <w:sz w:val="24"/>
          <w:szCs w:val="24"/>
          <w:highlight w:val="none"/>
        </w:rPr>
        <w:t xml:space="preserve">参加</w:t>
      </w:r>
      <w:r>
        <w:rPr>
          <w:rFonts w:ascii="宋体;SimSun" w:hAnsi="宋体;SimSun" w:eastAsia="宋体;SimSun" w:cs="宋体;SimSun"/>
          <w:color w:val="auto"/>
          <w:sz w:val="24"/>
          <w:szCs w:val="24"/>
          <w:highlight w:val="none"/>
          <w:u w:val="single"/>
        </w:rPr>
        <w:t xml:space="preserve">项目名称</w:t>
      </w:r>
      <w:r>
        <w:rPr>
          <w:rFonts w:ascii="宋体;SimSun" w:hAnsi="宋体;SimSun" w:eastAsia="宋体;SimSun" w:cs="宋体;SimSun"/>
          <w:color w:val="auto"/>
          <w:sz w:val="24"/>
          <w:szCs w:val="24"/>
          <w:highlight w:val="none"/>
        </w:rPr>
        <w:t xml:space="preserve">（项目编号：</w:t>
      </w:r>
      <w:r>
        <w:rPr>
          <w:rFonts w:ascii="宋体;SimSun" w:hAnsi="宋体;SimSun" w:eastAsia="宋体;SimSun" w:cs="宋体;SimSun"/>
          <w:color w:val="auto"/>
          <w:sz w:val="24"/>
          <w:szCs w:val="24"/>
          <w:highlight w:val="none"/>
          <w:u w:val="single"/>
        </w:rPr>
        <w:t xml:space="preserve">项目编号</w:t>
      </w:r>
      <w:r>
        <w:rPr>
          <w:rFonts w:ascii="宋体;SimSun" w:hAnsi="宋体;SimSun" w:eastAsia="宋体;SimSun" w:cs="宋体;SimSu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（1）具有良好的商业信誉和健全的财务会计制度（财务状况报告）；</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（2）有依法缴纳税收和社会保障资金的良好记录。</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特此承诺</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投标人（公章）：</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法定代表人（单位负责人）或委托代理人（签名或签章）：</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日期： 年 月 日</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color w:val="auto"/>
          <w:highlight w:val="none"/>
        </w:rPr>
        <w:br w:type="page" w:clear="all"/>
      </w:r>
      <w:r/>
    </w:p>
    <w:p>
      <w:pPr>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四、具备履行合同所必需的设备和专业技术能力的声明及证明材料</w:t>
      </w:r>
      <w:r/>
    </w:p>
    <w:p>
      <w:pPr>
        <w:jc w:val="center"/>
        <w:spacing w:line="460" w:lineRule="exact"/>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 xml:space="preserve">具备履行合同所必需的设备和专业技术能力的声明及证明材料</w:t>
      </w:r>
      <w:r/>
    </w:p>
    <w:p>
      <w:pPr>
        <w:jc w:val="center"/>
        <w:spacing w:line="46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主要设备有：。（须附证明材料）</w:t>
      </w:r>
      <w:r/>
    </w:p>
    <w:p>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主要专业技术能力有：。（须附证明材料）</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附主要设备和主要专业技术能力的证明材料如下：</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投标人（盖章）：</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法定代表人（单位负责人）或委托代理人（签字或盖章）：</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年 月 日</w:t>
      </w:r>
      <w:r/>
    </w:p>
    <w:p>
      <w:pPr>
        <w:jc w:val="left"/>
        <w:spacing w:line="360" w:lineRule="auto"/>
        <w:rPr>
          <w:rFonts w:ascii="宋体;SimSun" w:hAnsi="宋体;SimSun" w:eastAsia="宋体;SimSun" w:cs="宋体;SimSun"/>
          <w:color w:val="auto"/>
          <w:sz w:val="24"/>
          <w:szCs w:val="24"/>
          <w:highlight w:val="none"/>
        </w:rPr>
      </w:pPr>
      <w:r>
        <w:rPr>
          <w:color w:val="auto"/>
          <w:highlight w:val="none"/>
        </w:rPr>
        <w:br w:type="page" w:clear="all"/>
      </w:r>
      <w:r/>
    </w:p>
    <w:p>
      <w:pPr>
        <w:rPr>
          <w:rFonts w:ascii="宋体;SimSun" w:hAnsi="宋体;SimSun" w:eastAsia="宋体;SimSun" w:cs="宋体;SimSun"/>
          <w:b/>
          <w:iCs/>
          <w:color w:val="auto"/>
          <w:sz w:val="36"/>
          <w:szCs w:val="24"/>
          <w:highlight w:val="none"/>
        </w:rPr>
      </w:pPr>
      <w:r>
        <w:rPr>
          <w:rFonts w:ascii="宋体;SimSun" w:hAnsi="宋体;SimSun" w:eastAsia="宋体;SimSun" w:cs="宋体;SimSun"/>
          <w:b/>
          <w:iCs/>
          <w:color w:val="auto"/>
          <w:sz w:val="36"/>
          <w:szCs w:val="24"/>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五、参加政府采购活动前3年内在经营活动中没有重大违法记录的书面声明</w:t>
      </w:r>
      <w:r/>
    </w:p>
    <w:p>
      <w:pPr>
        <w:jc w:val="center"/>
        <w:spacing w:line="460" w:lineRule="exact"/>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 xml:space="preserve">声 明</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投标人（盖章）：</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法定代表人（单位负责人）或委托代理人（签字或盖章）：</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年 月 日</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color w:val="auto"/>
          <w:highlight w:val="none"/>
        </w:rPr>
        <w:br w:type="page" w:clear="all"/>
      </w:r>
      <w:r/>
    </w:p>
    <w:p>
      <w:pPr>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六、落实政府采购政策需满足的资格要求的证明文件</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（如有，请按要求提供）</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七、特定资格要求的证明文件</w:t>
      </w:r>
      <w:r/>
    </w:p>
    <w:p>
      <w:pPr>
        <w:ind w:firstLine="480"/>
        <w:jc w:val="left"/>
        <w:spacing w:line="500" w:lineRule="exact"/>
        <w:rPr>
          <w:color w:val="auto"/>
          <w:highlight w:val="none"/>
        </w:rPr>
      </w:pPr>
      <w:r>
        <w:rPr>
          <w:rFonts w:ascii="宋体;SimSun" w:hAnsi="宋体;SimSun" w:eastAsia="宋体;SimSun" w:cs="宋体;SimSun"/>
          <w:color w:val="auto"/>
          <w:sz w:val="24"/>
          <w:szCs w:val="24"/>
          <w:highlight w:val="none"/>
        </w:rPr>
        <w:t xml:space="preserve">（如有，请按要求提供）</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八、法律、行政法规规定的其他条件的证明文件</w:t>
      </w:r>
      <w:r/>
    </w:p>
    <w:p>
      <w:pPr>
        <w:ind w:firstLine="480"/>
        <w:jc w:val="left"/>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（如有，请按要求提供）</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color w:val="auto"/>
          <w:highlight w:val="none"/>
        </w:rPr>
        <w:br w:type="page" w:clear="all"/>
      </w:r>
      <w:r/>
    </w:p>
    <w:p>
      <w:pPr>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九、授权委托书与法定代表人（单位负责人）身份证明</w:t>
      </w:r>
      <w:r/>
    </w:p>
    <w:p>
      <w:pPr>
        <w:jc w:val="center"/>
        <w:spacing w:line="360" w:lineRule="exact"/>
        <w:rPr>
          <w:rFonts w:ascii="宋体;SimSun" w:hAnsi="宋体;SimSun" w:eastAsia="宋体;SimSun" w:cs="宋体;SimSun"/>
          <w:b/>
          <w:iCs/>
          <w:color w:val="auto"/>
          <w:sz w:val="36"/>
          <w:szCs w:val="36"/>
          <w:highlight w:val="none"/>
        </w:rPr>
      </w:pPr>
      <w:r>
        <w:rPr>
          <w:rFonts w:ascii="宋体;SimSun" w:hAnsi="宋体;SimSun" w:eastAsia="宋体;SimSun" w:cs="宋体;SimSun"/>
          <w:b/>
          <w:iCs/>
          <w:color w:val="auto"/>
          <w:sz w:val="36"/>
          <w:szCs w:val="36"/>
          <w:highlight w:val="none"/>
        </w:rPr>
      </w:r>
      <w:r/>
    </w:p>
    <w:p>
      <w:pPr>
        <w:jc w:val="center"/>
        <w:spacing w:line="360" w:lineRule="exact"/>
        <w:rPr>
          <w:rFonts w:ascii="宋体;SimSun" w:hAnsi="宋体;SimSun" w:eastAsia="宋体;SimSun" w:cs="宋体;SimSun"/>
          <w:b/>
          <w:color w:val="auto"/>
          <w:sz w:val="36"/>
          <w:szCs w:val="36"/>
          <w:highlight w:val="none"/>
        </w:rPr>
      </w:pPr>
      <w:r>
        <w:rPr>
          <w:rFonts w:ascii="宋体;SimSun" w:hAnsi="宋体;SimSun" w:eastAsia="宋体;SimSun" w:cs="宋体;SimSun"/>
          <w:b/>
          <w:color w:val="auto"/>
          <w:sz w:val="36"/>
          <w:szCs w:val="36"/>
          <w:highlight w:val="none"/>
        </w:rPr>
        <w:t xml:space="preserve">授权委托书</w:t>
      </w:r>
      <w:r/>
    </w:p>
    <w:p>
      <w:pPr>
        <w:spacing w:line="360" w:lineRule="auto"/>
        <w:rPr>
          <w:color w:val="auto"/>
          <w:highlight w:val="none"/>
        </w:rPr>
      </w:pPr>
      <w:r>
        <w:rPr>
          <w:rFonts w:ascii="宋体;SimSun" w:hAnsi="宋体;SimSun" w:eastAsia="宋体;SimSun" w:cs="宋体;SimSun"/>
          <w:color w:val="auto"/>
          <w:sz w:val="24"/>
          <w:szCs w:val="24"/>
          <w:highlight w:val="none"/>
        </w:rPr>
        <w:t xml:space="preserve">致：</w:t>
      </w:r>
      <w:r>
        <w:rPr>
          <w:rFonts w:ascii="宋体;SimSun" w:hAnsi="宋体;SimSun" w:eastAsia="宋体;SimSun" w:cs="宋体;SimSun"/>
          <w:color w:val="auto"/>
          <w:sz w:val="24"/>
          <w:szCs w:val="24"/>
          <w:highlight w:val="none"/>
          <w:u w:val="single"/>
        </w:rPr>
        <w:t xml:space="preserve">采购单位</w:t>
      </w:r>
      <w:r/>
    </w:p>
    <w:p>
      <w:pPr>
        <w:ind w:firstLine="420"/>
        <w:jc w:val="left"/>
        <w:spacing w:line="360" w:lineRule="auto"/>
        <w:rPr>
          <w:color w:val="auto"/>
          <w:highlight w:val="none"/>
        </w:rPr>
      </w:pPr>
      <w:r>
        <w:rPr>
          <w:rFonts w:ascii="宋体;SimSun" w:hAnsi="宋体;SimSun" w:eastAsia="宋体;SimSun" w:cs="宋体;SimSun"/>
          <w:color w:val="auto"/>
          <w:sz w:val="24"/>
          <w:szCs w:val="24"/>
          <w:highlight w:val="none"/>
        </w:rPr>
        <w:t xml:space="preserve">本人</w:t>
      </w:r>
      <w:r>
        <w:rPr>
          <w:rFonts w:ascii="宋体;SimSun" w:hAnsi="宋体;SimSun" w:eastAsia="宋体;SimSun" w:cs="宋体;SimSun"/>
          <w:color w:val="auto"/>
          <w:sz w:val="24"/>
          <w:szCs w:val="24"/>
          <w:highlight w:val="none"/>
          <w:u w:val="single"/>
        </w:rPr>
        <w:t xml:space="preserve">（姓名）</w:t>
      </w:r>
      <w:r>
        <w:rPr>
          <w:rFonts w:ascii="宋体;SimSun" w:hAnsi="宋体;SimSun" w:eastAsia="宋体;SimSun" w:cs="宋体;SimSun"/>
          <w:color w:val="auto"/>
          <w:sz w:val="24"/>
          <w:szCs w:val="24"/>
          <w:highlight w:val="none"/>
        </w:rPr>
        <w:t xml:space="preserve">系</w:t>
      </w:r>
      <w:r>
        <w:rPr>
          <w:rFonts w:ascii="宋体;SimSun" w:hAnsi="宋体;SimSun" w:eastAsia="宋体;SimSun" w:cs="宋体;SimSun"/>
          <w:color w:val="auto"/>
          <w:sz w:val="24"/>
          <w:szCs w:val="24"/>
          <w:highlight w:val="none"/>
          <w:u w:val="single"/>
        </w:rPr>
        <w:t xml:space="preserve">（投标人名称）</w:t>
      </w:r>
      <w:r>
        <w:rPr>
          <w:rFonts w:ascii="宋体;SimSun" w:hAnsi="宋体;SimSun" w:eastAsia="宋体;SimSun" w:cs="宋体;SimSun"/>
          <w:color w:val="auto"/>
          <w:sz w:val="24"/>
          <w:szCs w:val="24"/>
          <w:highlight w:val="none"/>
        </w:rPr>
        <w:t xml:space="preserve">的法定代表人（单位负责人），现委托</w:t>
      </w:r>
      <w:r>
        <w:rPr>
          <w:rFonts w:ascii="宋体;SimSun" w:hAnsi="宋体;SimSun" w:eastAsia="宋体;SimSun" w:cs="宋体;SimSun"/>
          <w:color w:val="auto"/>
          <w:sz w:val="24"/>
          <w:szCs w:val="24"/>
          <w:highlight w:val="none"/>
          <w:u w:val="single"/>
        </w:rPr>
        <w:t xml:space="preserve"> （姓名）</w:t>
      </w:r>
      <w:r>
        <w:rPr>
          <w:rFonts w:ascii="宋体;SimSun" w:hAnsi="宋体;SimSun" w:eastAsia="宋体;SimSun" w:cs="宋体;SimSun"/>
          <w:color w:val="auto"/>
          <w:sz w:val="24"/>
          <w:szCs w:val="24"/>
          <w:highlight w:val="none"/>
        </w:rPr>
        <w:t xml:space="preserve">为我方代理人，联系电话：。代理人根据授权，以我方名义签署、澄清确认、递交、撤回、修改</w:t>
      </w:r>
      <w:r>
        <w:rPr>
          <w:rFonts w:ascii="宋体;SimSun" w:hAnsi="宋体;SimSun" w:eastAsia="宋体;SimSun" w:cs="宋体;SimSun"/>
          <w:color w:val="auto"/>
          <w:sz w:val="24"/>
          <w:szCs w:val="24"/>
          <w:highlight w:val="none"/>
          <w:u w:val="single"/>
        </w:rPr>
        <w:t xml:space="preserve"> （项目名称） </w:t>
      </w:r>
      <w:r>
        <w:rPr>
          <w:rFonts w:ascii="宋体;SimSun" w:hAnsi="宋体;SimSun" w:eastAsia="宋体;SimSun" w:cs="宋体;SimSun"/>
          <w:color w:val="auto"/>
          <w:sz w:val="24"/>
          <w:szCs w:val="24"/>
          <w:highlight w:val="none"/>
        </w:rPr>
        <w:t xml:space="preserve">项目（项目编号：）投标文件和处理有关事宜，其法律后果由我方承担。</w:t>
      </w:r>
      <w:r/>
    </w:p>
    <w:p>
      <w:pPr>
        <w:ind w:firstLine="42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委托期限：自本授权委托书签署之日起至响应有效期届满之日止。</w:t>
      </w:r>
      <w:r/>
    </w:p>
    <w:p>
      <w:pPr>
        <w:ind w:firstLine="42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代理人无转委托权。</w:t>
      </w:r>
      <w:r>
        <w:rPr>
          <w:rFonts w:ascii="宋体;SimSun" w:hAnsi="宋体;SimSun" w:eastAsia="宋体;SimSun" w:cs="宋体;SimSun"/>
          <w:color w:val="auto"/>
          <w:sz w:val="24"/>
          <w:szCs w:val="24"/>
          <w:highlight w:val="none"/>
        </w:rPr>
        <w:b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投标人名称（加盖公章）：</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法定代表人（单位负责人）（签字、签章或印鉴）：</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委托代理人（签字/签章）：</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年 月 日</w:t>
      </w:r>
      <w:r/>
    </w:p>
    <w:p>
      <w:pPr>
        <w:ind w:firstLine="480"/>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color w:val="auto"/>
          <w:highlight w:val="none"/>
        </w:rPr>
      </w:pPr>
      <w:r>
        <w:rPr>
          <w:rFonts w:ascii="宋体;SimSun" w:hAnsi="宋体;SimSun" w:eastAsia="宋体;SimSun" w:cs="宋体;SimSun"/>
          <w:color w:val="auto"/>
          <w:sz w:val="24"/>
          <w:szCs w:val="20"/>
          <w:highlight w:val="none"/>
        </w:rPr>
        <w:t xml:space="preserve">法定代表人（单位负责人）有效期内的身份证</w:t>
      </w:r>
      <w:r>
        <w:rPr>
          <w:rFonts w:ascii="宋体;SimSun" w:hAnsi="宋体;SimSun" w:eastAsia="宋体;SimSun" w:cs="宋体;SimSun"/>
          <w:b/>
          <w:color w:val="auto"/>
          <w:sz w:val="24"/>
          <w:szCs w:val="20"/>
          <w:highlight w:val="none"/>
        </w:rPr>
        <w:t xml:space="preserve">正反面</w:t>
      </w:r>
      <w:r>
        <w:rPr>
          <w:color w:val="auto"/>
          <w:highlight w:val="none"/>
        </w:rPr>
        <w:t xml:space="preserve">电子件：</w:t>
      </w:r>
      <w:r/>
    </w:p>
    <w:tbl>
      <w:tblPr>
        <w:tblStyle w:val="1006"/>
        <w:tblW w:w="9208" w:type="dxa"/>
        <w:tblInd w:w="-113" w:type="dxa"/>
        <w:tblLayout w:type="fixed"/>
        <w:tblCellMar>
          <w:left w:w="108" w:type="dxa"/>
          <w:top w:w="0" w:type="dxa"/>
          <w:right w:w="108" w:type="dxa"/>
          <w:bottom w:w="0" w:type="dxa"/>
        </w:tblCellMar>
        <w:tblLook w:val="04A0" w:firstRow="1" w:lastRow="0" w:firstColumn="1" w:lastColumn="0" w:noHBand="0" w:noVBand="1"/>
      </w:tblPr>
      <w:tblGrid>
        <w:gridCol w:w="4672"/>
        <w:gridCol w:w="4536"/>
      </w:tblGrid>
      <w:tr>
        <w:trPr>
          <w:trHeight w:val="1399"/>
        </w:trPr>
        <w:tc>
          <w:tcPr>
            <w:tcBorders>
              <w:top w:val="single" w:color="000000" w:sz="4" w:space="0"/>
              <w:left w:val="single" w:color="000000" w:sz="4" w:space="0"/>
              <w:bottom w:val="single" w:color="000000" w:sz="4" w:space="0"/>
              <w:right w:val="single" w:color="000000" w:sz="4" w:space="0"/>
            </w:tcBorders>
            <w:tcW w:w="4672" w:type="dxa"/>
            <w:textDirection w:val="lrTb"/>
            <w:noWrap w:val="false"/>
          </w:tcPr>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tc>
      </w:tr>
    </w:tbl>
    <w:p>
      <w:pPr>
        <w:jc w:val="left"/>
        <w:spacing w:line="360" w:lineRule="auto"/>
        <w:tabs>
          <w:tab w:val="left" w:pos="5580" w:leader="none"/>
        </w:tabs>
        <w:rPr>
          <w:color w:val="auto"/>
          <w:highlight w:val="none"/>
        </w:rPr>
      </w:pPr>
      <w:r>
        <w:rPr>
          <w:rFonts w:ascii="宋体;SimSun" w:hAnsi="宋体;SimSun" w:eastAsia="宋体;SimSun" w:cs="宋体;SimSun"/>
          <w:color w:val="auto"/>
          <w:sz w:val="24"/>
          <w:szCs w:val="20"/>
          <w:highlight w:val="none"/>
        </w:rPr>
        <w:t xml:space="preserve">委托代理人有效期内的身份证</w:t>
      </w:r>
      <w:r>
        <w:rPr>
          <w:rFonts w:ascii="宋体;SimSun" w:hAnsi="宋体;SimSun" w:eastAsia="宋体;SimSun" w:cs="宋体;SimSun"/>
          <w:b/>
          <w:color w:val="auto"/>
          <w:sz w:val="24"/>
          <w:szCs w:val="20"/>
          <w:highlight w:val="none"/>
        </w:rPr>
        <w:t xml:space="preserve">正反面</w:t>
      </w:r>
      <w:r>
        <w:rPr>
          <w:color w:val="auto"/>
          <w:highlight w:val="none"/>
        </w:rPr>
        <w:t xml:space="preserve">电子件：</w:t>
      </w:r>
      <w:r/>
    </w:p>
    <w:tbl>
      <w:tblPr>
        <w:tblStyle w:val="1006"/>
        <w:tblW w:w="9208" w:type="dxa"/>
        <w:tblInd w:w="-113" w:type="dxa"/>
        <w:tblLayout w:type="fixed"/>
        <w:tblCellMar>
          <w:left w:w="108" w:type="dxa"/>
          <w:top w:w="0" w:type="dxa"/>
          <w:right w:w="108" w:type="dxa"/>
          <w:bottom w:w="0" w:type="dxa"/>
        </w:tblCellMar>
        <w:tblLook w:val="04A0" w:firstRow="1" w:lastRow="0" w:firstColumn="1" w:lastColumn="0" w:noHBand="0" w:noVBand="1"/>
      </w:tblPr>
      <w:tblGrid>
        <w:gridCol w:w="4672"/>
        <w:gridCol w:w="4536"/>
      </w:tblGrid>
      <w:tr>
        <w:trPr>
          <w:trHeight w:val="1399"/>
        </w:trPr>
        <w:tc>
          <w:tcPr>
            <w:tcBorders>
              <w:top w:val="single" w:color="000000" w:sz="4" w:space="0"/>
              <w:left w:val="single" w:color="000000" w:sz="4" w:space="0"/>
              <w:bottom w:val="single" w:color="000000" w:sz="4" w:space="0"/>
              <w:right w:val="single" w:color="000000" w:sz="4" w:space="0"/>
            </w:tcBorders>
            <w:tcW w:w="4672" w:type="dxa"/>
            <w:textDirection w:val="lrTb"/>
            <w:noWrap w:val="false"/>
          </w:tcPr>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tc>
      </w:tr>
    </w:tbl>
    <w:p>
      <w:pPr>
        <w:jc w:val="left"/>
        <w:spacing w:line="360" w:lineRule="auto"/>
        <w:tabs>
          <w:tab w:val="left" w:pos="5580" w:leader="none"/>
        </w:tabs>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填报说明：</w:t>
      </w:r>
      <w:r/>
    </w:p>
    <w:p>
      <w:pPr>
        <w:ind w:firstLine="480"/>
        <w:jc w:val="left"/>
        <w:spacing w:line="360" w:lineRule="auto"/>
        <w:tabs>
          <w:tab w:val="left" w:pos="5580" w:leader="none"/>
        </w:tabs>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color w:val="auto"/>
          <w:highlight w:val="none"/>
        </w:rPr>
      </w:pPr>
      <w:r>
        <w:rPr>
          <w:rFonts w:ascii="宋体;SimSun" w:hAnsi="宋体;SimSun" w:eastAsia="宋体;SimSun" w:cs="宋体;SimSun"/>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jc w:val="center"/>
        <w:spacing w:line="360" w:lineRule="exact"/>
        <w:rPr>
          <w:rFonts w:ascii="宋体;SimSun" w:hAnsi="宋体;SimSun" w:eastAsia="宋体;SimSun" w:cs="宋体;SimSun"/>
          <w:b/>
          <w:color w:val="auto"/>
          <w:sz w:val="36"/>
          <w:szCs w:val="36"/>
          <w:highlight w:val="none"/>
        </w:rPr>
      </w:pPr>
      <w:r>
        <w:rPr>
          <w:rFonts w:ascii="宋体;SimSun" w:hAnsi="宋体;SimSun" w:eastAsia="宋体;SimSun" w:cs="宋体;SimSun"/>
          <w:b/>
          <w:color w:val="auto"/>
          <w:sz w:val="36"/>
          <w:szCs w:val="36"/>
          <w:highlight w:val="none"/>
        </w:rPr>
        <w:t xml:space="preserve">法定代表人（单位负责人）身份证明</w:t>
      </w:r>
      <w:r/>
    </w:p>
    <w:p>
      <w:pPr>
        <w:spacing w:line="200" w:lineRule="exact"/>
        <w:rPr>
          <w:rFonts w:ascii="宋体;SimSun" w:hAnsi="宋体;SimSun" w:eastAsia="宋体;SimSun" w:cs="宋体;SimSun"/>
          <w:b/>
          <w:color w:val="auto"/>
          <w:sz w:val="20"/>
          <w:szCs w:val="20"/>
          <w:highlight w:val="none"/>
        </w:rPr>
      </w:pPr>
      <w:r>
        <w:rPr>
          <w:rFonts w:ascii="宋体;SimSun" w:hAnsi="宋体;SimSun" w:eastAsia="宋体;SimSun" w:cs="宋体;SimSun"/>
          <w:b/>
          <w:color w:val="auto"/>
          <w:sz w:val="20"/>
          <w:szCs w:val="20"/>
          <w:highlight w:val="none"/>
        </w:rPr>
      </w:r>
      <w:r/>
    </w:p>
    <w:p>
      <w:pPr>
        <w:spacing w:line="360" w:lineRule="auto"/>
        <w:tabs>
          <w:tab w:val="left" w:pos="5580" w:leader="none"/>
        </w:tabs>
        <w:rPr>
          <w:color w:val="auto"/>
          <w:highlight w:val="none"/>
        </w:rPr>
      </w:pPr>
      <w:r>
        <w:rPr>
          <w:rFonts w:ascii="宋体;SimSun" w:hAnsi="宋体;SimSun" w:eastAsia="宋体;SimSun" w:cs="宋体;SimSun"/>
          <w:color w:val="auto"/>
          <w:sz w:val="24"/>
          <w:szCs w:val="24"/>
          <w:highlight w:val="none"/>
        </w:rPr>
        <w:t xml:space="preserve">致：</w:t>
      </w:r>
      <w:r>
        <w:rPr>
          <w:rFonts w:ascii="宋体;SimSun" w:hAnsi="宋体;SimSun" w:eastAsia="宋体;SimSun" w:cs="宋体;SimSun"/>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color w:val="auto"/>
          <w:highlight w:val="none"/>
        </w:rPr>
      </w:pPr>
      <w:r>
        <w:rPr>
          <w:rFonts w:ascii="宋体;SimSun" w:hAnsi="宋体;SimSun" w:eastAsia="宋体;SimSun" w:cs="宋体;SimSun"/>
          <w:color w:val="auto"/>
          <w:sz w:val="24"/>
          <w:szCs w:val="24"/>
          <w:highlight w:val="none"/>
        </w:rPr>
        <w:t xml:space="preserve">兹证明，姓名：性别：年龄：职务：系</w:t>
      </w:r>
      <w:r>
        <w:rPr>
          <w:rFonts w:ascii="宋体;SimSun" w:hAnsi="宋体;SimSun" w:eastAsia="宋体;SimSun" w:cs="宋体;SimSun"/>
          <w:color w:val="auto"/>
          <w:sz w:val="24"/>
          <w:szCs w:val="24"/>
          <w:highlight w:val="none"/>
          <w:u w:val="single"/>
        </w:rPr>
        <w:t xml:space="preserve">（投标人名称）</w:t>
      </w:r>
      <w:r>
        <w:rPr>
          <w:rFonts w:ascii="宋体;SimSun" w:hAnsi="宋体;SimSun" w:eastAsia="宋体;SimSun" w:cs="宋体;SimSu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right="-46"/>
        <w:spacing w:before="120" w:line="576" w:lineRule="auto"/>
        <w:tabs>
          <w:tab w:val="left" w:pos="567" w:leader="none"/>
        </w:tabs>
        <w:rPr>
          <w:color w:val="auto"/>
          <w:highlight w:val="none"/>
        </w:rPr>
      </w:pPr>
      <w:r>
        <w:rPr>
          <w:rFonts w:ascii="宋体;SimSun" w:hAnsi="宋体;SimSun" w:eastAsia="宋体;SimSun" w:cs="宋体;SimSun"/>
          <w:color w:val="auto"/>
          <w:spacing w:val="-3"/>
          <w:sz w:val="24"/>
          <w:szCs w:val="24"/>
          <w:highlight w:val="none"/>
        </w:rPr>
        <w:t xml:space="preserve">附：法定代表人（单位负责人</w:t>
      </w:r>
      <w:r>
        <w:rPr>
          <w:color w:val="auto"/>
          <w:highlight w:val="none"/>
        </w:rPr>
        <w:t xml:space="preserve">）有效期内的身份证正反面电子件。</w:t>
      </w:r>
      <w:r/>
    </w:p>
    <w:tbl>
      <w:tblPr>
        <w:tblStyle w:val="1006"/>
        <w:tblW w:w="9208" w:type="dxa"/>
        <w:tblInd w:w="-113" w:type="dxa"/>
        <w:tblLayout w:type="fixed"/>
        <w:tblCellMar>
          <w:left w:w="108" w:type="dxa"/>
          <w:top w:w="0" w:type="dxa"/>
          <w:right w:w="108" w:type="dxa"/>
          <w:bottom w:w="0" w:type="dxa"/>
        </w:tblCellMar>
        <w:tblLook w:val="04A0" w:firstRow="1" w:lastRow="0" w:firstColumn="1" w:lastColumn="0" w:noHBand="0" w:noVBand="1"/>
      </w:tblPr>
      <w:tblGrid>
        <w:gridCol w:w="4672"/>
        <w:gridCol w:w="4536"/>
      </w:tblGrid>
      <w:tr>
        <w:trPr>
          <w:trHeight w:val="1399"/>
        </w:trPr>
        <w:tc>
          <w:tcPr>
            <w:tcBorders>
              <w:top w:val="single" w:color="000000" w:sz="4" w:space="0"/>
              <w:left w:val="single" w:color="000000" w:sz="4" w:space="0"/>
              <w:bottom w:val="single" w:color="000000" w:sz="4" w:space="0"/>
              <w:right w:val="single" w:color="000000" w:sz="4" w:space="0"/>
            </w:tcBorders>
            <w:tcW w:w="4672" w:type="dxa"/>
            <w:textDirection w:val="lrTb"/>
            <w:noWrap w:val="false"/>
          </w:tcPr>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p>
            <w:pPr>
              <w:jc w:val="left"/>
              <w:spacing w:line="360" w:lineRule="auto"/>
              <w:tabs>
                <w:tab w:val="left" w:pos="5580" w:leader="none"/>
              </w:tabs>
              <w:rPr>
                <w:rFonts w:ascii="宋体;SimSun" w:hAnsi="宋体;SimSun" w:eastAsia="宋体;SimSun" w:cs="宋体;SimSun"/>
                <w:color w:val="auto"/>
                <w:sz w:val="24"/>
                <w:szCs w:val="20"/>
                <w:highlight w:val="none"/>
              </w:rPr>
            </w:pPr>
            <w:r>
              <w:rPr>
                <w:rFonts w:ascii="宋体;SimSun" w:hAnsi="宋体;SimSun" w:eastAsia="宋体;SimSun" w:cs="宋体;SimSun"/>
                <w:color w:val="auto"/>
                <w:sz w:val="24"/>
                <w:szCs w:val="20"/>
                <w:highlight w:val="none"/>
              </w:rPr>
            </w:r>
            <w:r/>
          </w:p>
        </w:tc>
      </w:tr>
    </w:tbl>
    <w:p>
      <w:pPr>
        <w:ind w:right="4305"/>
        <w:spacing w:before="120" w:line="576" w:lineRule="auto"/>
        <w:tabs>
          <w:tab w:val="left" w:pos="567" w:leader="none"/>
        </w:tabs>
        <w:rPr>
          <w:rFonts w:ascii="宋体;SimSun" w:hAnsi="宋体;SimSun" w:eastAsia="宋体;SimSun" w:cs="宋体;SimSun"/>
          <w:color w:val="auto"/>
          <w:spacing w:val="-3"/>
          <w:sz w:val="24"/>
          <w:szCs w:val="24"/>
          <w:highlight w:val="none"/>
        </w:rPr>
      </w:pPr>
      <w:r>
        <w:rPr>
          <w:rFonts w:ascii="宋体;SimSun" w:hAnsi="宋体;SimSun" w:eastAsia="宋体;SimSun" w:cs="宋体;SimSun"/>
          <w:color w:val="auto"/>
          <w:spacing w:val="-3"/>
          <w:sz w:val="24"/>
          <w:szCs w:val="24"/>
          <w:highlight w:val="none"/>
        </w:rPr>
      </w:r>
      <w:r/>
    </w:p>
    <w:p>
      <w:pPr>
        <w:ind w:firstLine="480"/>
        <w:spacing w:line="360" w:lineRule="auto"/>
        <w:rPr>
          <w:color w:val="auto"/>
          <w:highlight w:val="none"/>
        </w:rPr>
      </w:pPr>
      <w:r>
        <w:rPr>
          <w:rFonts w:ascii="宋体;SimSun" w:hAnsi="宋体;SimSun" w:eastAsia="宋体;SimSun" w:cs="宋体;SimSun"/>
          <w:color w:val="auto"/>
          <w:sz w:val="24"/>
          <w:szCs w:val="24"/>
          <w:highlight w:val="none"/>
        </w:rPr>
        <w:t xml:space="preserve">投标人名称（加盖公章）</w:t>
      </w:r>
      <w:r>
        <w:rPr>
          <w:rFonts w:ascii="宋体;SimSun" w:hAnsi="宋体;SimSun" w:eastAsia="宋体;SimSun" w:cs="宋体;SimSun"/>
          <w:color w:val="auto"/>
          <w:sz w:val="24"/>
          <w:szCs w:val="24"/>
          <w:highlight w:val="none"/>
          <w:lang w:val="zh-CN"/>
        </w:rPr>
        <w:t xml:space="preserve">：</w:t>
      </w:r>
      <w:r/>
    </w:p>
    <w:p>
      <w:pPr>
        <w:ind w:firstLine="468"/>
        <w:spacing w:line="360" w:lineRule="auto"/>
        <w:rPr>
          <w:color w:val="auto"/>
          <w:highlight w:val="none"/>
        </w:rPr>
      </w:pPr>
      <w:r>
        <w:rPr>
          <w:rFonts w:ascii="宋体;SimSun" w:hAnsi="宋体;SimSun" w:eastAsia="宋体;SimSun" w:cs="宋体;SimSun"/>
          <w:color w:val="auto"/>
          <w:spacing w:val="-3"/>
          <w:sz w:val="24"/>
          <w:szCs w:val="24"/>
          <w:highlight w:val="none"/>
        </w:rPr>
        <w:t xml:space="preserve">法定代表人（</w:t>
      </w:r>
      <w:r>
        <w:rPr>
          <w:rFonts w:ascii="宋体;SimSun" w:hAnsi="宋体;SimSun" w:eastAsia="宋体;SimSun" w:cs="宋体;SimSun"/>
          <w:color w:val="auto"/>
          <w:sz w:val="24"/>
          <w:szCs w:val="24"/>
          <w:highlight w:val="none"/>
        </w:rPr>
        <w:t xml:space="preserve">单位负责人</w:t>
      </w:r>
      <w:r>
        <w:rPr>
          <w:rFonts w:ascii="宋体;SimSun" w:hAnsi="宋体;SimSun" w:eastAsia="宋体;SimSun" w:cs="宋体;SimSun"/>
          <w:color w:val="auto"/>
          <w:spacing w:val="-3"/>
          <w:sz w:val="24"/>
          <w:szCs w:val="24"/>
          <w:highlight w:val="none"/>
        </w:rPr>
        <w:t xml:space="preserve">）（签字、签章或印鉴）：</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年 月 日</w:t>
      </w:r>
      <w:r/>
    </w:p>
    <w:p>
      <w:pPr>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jc w:val="left"/>
        <w:keepLines/>
        <w:keepNext/>
        <w:spacing w:before="260" w:after="260" w:line="412"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十、投标函</w:t>
      </w:r>
      <w:r/>
    </w:p>
    <w:p>
      <w:pPr>
        <w:jc w:val="center"/>
        <w:spacing w:line="360" w:lineRule="auto"/>
        <w:tabs>
          <w:tab w:val="left" w:pos="360" w:leader="none"/>
        </w:tabs>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 xml:space="preserve">投标函</w:t>
      </w:r>
      <w:r/>
    </w:p>
    <w:p>
      <w:pPr>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致：江苏连云经济开发区管理委员会</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据此函，__________签字人兹宣布同意如下：</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1.按招标文件规定的各项要求，向买方提供所需服务（包含与服务相关的货物等）。</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2.我们完全理解贵方不一定将合同授予最低报价的投标人。</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color w:val="auto"/>
          <w:highlight w:val="none"/>
        </w:rPr>
      </w:pPr>
      <w:r>
        <w:rPr>
          <w:rFonts w:ascii="宋体;SimSun" w:hAnsi="宋体;SimSun" w:eastAsia="宋体;SimSun" w:cs="宋体;SimSu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7.与本投标有关的正式通讯地址为：</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地 址：</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邮 编：</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电 话：</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传 真：</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投标人开户行：</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账 号：</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投标人（盖章）：</w:t>
      </w:r>
      <w:r/>
    </w:p>
    <w:p>
      <w:pPr>
        <w:ind w:firstLine="480"/>
        <w:jc w:val="left"/>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法定代表人（单位负责人）或委托代理人（签字或盖章）：</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年 月 日</w:t>
      </w:r>
      <w:r/>
    </w:p>
    <w:p>
      <w:pPr>
        <w:jc w:val="left"/>
        <w:keepLines/>
        <w:keepNext/>
        <w:spacing w:before="360" w:after="200" w:line="360" w:lineRule="auto"/>
        <w:rPr>
          <w:rFonts w:ascii="宋体;SimSun" w:hAnsi="宋体;SimSun" w:eastAsia="宋体;SimSun" w:cs="宋体;SimSun"/>
          <w:b/>
          <w:color w:val="auto"/>
          <w:sz w:val="36"/>
          <w:highlight w:val="none"/>
        </w:rPr>
        <w:outlineLvl w:val="1"/>
      </w:pPr>
      <w:r>
        <w:rPr>
          <w:rFonts w:ascii="宋体;SimSun" w:hAnsi="宋体;SimSun" w:eastAsia="宋体;SimSun" w:cs="宋体;SimSun"/>
          <w:b/>
          <w:color w:val="auto"/>
          <w:sz w:val="36"/>
          <w:highlight w:val="none"/>
        </w:rPr>
        <w:t xml:space="preserve">十一、中小企业声明函（服务）</w:t>
      </w:r>
      <w:r/>
    </w:p>
    <w:p>
      <w:pPr>
        <w:jc w:val="center"/>
        <w:spacing w:line="360" w:lineRule="auto"/>
        <w:tabs>
          <w:tab w:val="left" w:pos="360" w:leader="none"/>
        </w:tabs>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 xml:space="preserve">中小企业声明函</w:t>
      </w:r>
      <w:r/>
    </w:p>
    <w:p>
      <w:pPr>
        <w:jc w:val="center"/>
        <w:spacing w:line="360" w:lineRule="auto"/>
        <w:tabs>
          <w:tab w:val="left" w:pos="360" w:leader="none"/>
        </w:tabs>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本公司郑重声明，根据《政府采购促进中小企业发展管理办法》(财库〔2020〕46号)的规定，本公司参加</w:t>
      </w:r>
      <w:r>
        <w:rPr>
          <w:rFonts w:ascii="宋体;SimSun" w:hAnsi="宋体;SimSun" w:eastAsia="宋体;SimSun" w:cs="宋体;SimSun"/>
          <w:color w:val="auto"/>
          <w:sz w:val="24"/>
          <w:szCs w:val="24"/>
          <w:highlight w:val="none"/>
          <w:u w:val="single"/>
        </w:rPr>
        <w:t xml:space="preserve">（单位名称）</w:t>
      </w:r>
      <w:r>
        <w:rPr>
          <w:rFonts w:ascii="宋体;SimSun" w:hAnsi="宋体;SimSun" w:eastAsia="宋体;SimSun" w:cs="宋体;SimSun"/>
          <w:color w:val="auto"/>
          <w:sz w:val="24"/>
          <w:szCs w:val="24"/>
          <w:highlight w:val="none"/>
        </w:rPr>
        <w:t xml:space="preserve">的</w:t>
      </w:r>
      <w:r>
        <w:rPr>
          <w:rFonts w:ascii="宋体;SimSun" w:hAnsi="宋体;SimSun" w:eastAsia="宋体;SimSun" w:cs="宋体;SimSun"/>
          <w:color w:val="auto"/>
          <w:sz w:val="24"/>
          <w:szCs w:val="24"/>
          <w:highlight w:val="none"/>
          <w:u w:val="single"/>
        </w:rPr>
        <w:t xml:space="preserve">（项目名称）</w:t>
      </w:r>
      <w:r>
        <w:rPr>
          <w:rFonts w:ascii="宋体;SimSun" w:hAnsi="宋体;SimSun" w:eastAsia="宋体;SimSun" w:cs="宋体;SimSun"/>
          <w:color w:val="auto"/>
          <w:sz w:val="24"/>
          <w:szCs w:val="24"/>
          <w:highlight w:val="none"/>
        </w:rPr>
        <w:t xml:space="preserve">（项目编号：，分包号：）采购活动，提供的</w:t>
      </w:r>
      <w:r>
        <w:rPr>
          <w:rFonts w:ascii="宋体;SimSun" w:hAnsi="宋体;SimSun" w:eastAsia="宋体;SimSun" w:cs="宋体;SimSun"/>
          <w:color w:val="auto"/>
          <w:sz w:val="24"/>
          <w:highlight w:val="none"/>
        </w:rPr>
        <w:t xml:space="preserve">服务全部由符合政策要求的中小企业承接。</w:t>
      </w:r>
      <w:r/>
    </w:p>
    <w:p>
      <w:pPr>
        <w:ind w:firstLine="480"/>
        <w:spacing w:line="500" w:lineRule="exact"/>
        <w:rPr>
          <w:color w:val="auto"/>
          <w:highlight w:val="none"/>
        </w:rPr>
      </w:pPr>
      <w:r>
        <w:rPr>
          <w:rFonts w:ascii="宋体;SimSun" w:hAnsi="宋体;SimSun" w:eastAsia="宋体;SimSun" w:cs="宋体;SimSun"/>
          <w:color w:val="auto"/>
          <w:sz w:val="24"/>
          <w:szCs w:val="24"/>
          <w:highlight w:val="none"/>
          <w:u w:val="single"/>
        </w:rPr>
        <w:t xml:space="preserve">（标的名称）</w:t>
      </w:r>
      <w:r>
        <w:rPr>
          <w:rFonts w:ascii="宋体;SimSun" w:hAnsi="宋体;SimSun" w:eastAsia="宋体;SimSun" w:cs="宋体;SimSun"/>
          <w:color w:val="auto"/>
          <w:sz w:val="24"/>
          <w:szCs w:val="24"/>
          <w:highlight w:val="none"/>
        </w:rPr>
        <w:t xml:space="preserve">，属于</w:t>
      </w:r>
      <w:r>
        <w:rPr>
          <w:rFonts w:ascii="宋体;SimSun" w:hAnsi="宋体;SimSun" w:eastAsia="宋体;SimSun" w:cs="宋体;SimSun"/>
          <w:color w:val="auto"/>
          <w:sz w:val="24"/>
          <w:szCs w:val="24"/>
          <w:highlight w:val="none"/>
          <w:u w:val="single"/>
        </w:rPr>
        <w:t xml:space="preserve">（采购文件中明确的所属行业）</w:t>
      </w:r>
      <w:r>
        <w:rPr>
          <w:rFonts w:ascii="宋体;SimSun" w:hAnsi="宋体;SimSun" w:eastAsia="宋体;SimSun" w:cs="宋体;SimSun"/>
          <w:color w:val="auto"/>
          <w:sz w:val="24"/>
          <w:szCs w:val="24"/>
          <w:highlight w:val="none"/>
        </w:rPr>
        <w:t xml:space="preserve">行业；承接企业为</w:t>
      </w:r>
      <w:r>
        <w:rPr>
          <w:rFonts w:ascii="宋体;SimSun" w:hAnsi="宋体;SimSun" w:eastAsia="宋体;SimSun" w:cs="宋体;SimSun"/>
          <w:color w:val="auto"/>
          <w:sz w:val="24"/>
          <w:szCs w:val="24"/>
          <w:highlight w:val="none"/>
          <w:u w:val="single"/>
        </w:rPr>
        <w:t xml:space="preserve">（企业名称）</w:t>
      </w:r>
      <w:r>
        <w:rPr>
          <w:rFonts w:ascii="宋体;SimSun" w:hAnsi="宋体;SimSun" w:eastAsia="宋体;SimSun" w:cs="宋体;SimSun"/>
          <w:color w:val="auto"/>
          <w:sz w:val="24"/>
          <w:szCs w:val="24"/>
          <w:highlight w:val="none"/>
        </w:rPr>
        <w:t xml:space="preserve">，从业人员人，营业收入为万元，资产总额为万元，属于</w:t>
      </w:r>
      <w:r>
        <w:rPr>
          <w:rFonts w:ascii="宋体;SimSun" w:hAnsi="宋体;SimSun" w:eastAsia="宋体;SimSun" w:cs="宋体;SimSun"/>
          <w:color w:val="auto"/>
          <w:sz w:val="24"/>
          <w:szCs w:val="24"/>
          <w:highlight w:val="none"/>
          <w:u w:val="single"/>
        </w:rPr>
        <w:t xml:space="preserve">（中型企业、小型企业、微型企业）</w:t>
      </w:r>
      <w:r>
        <w:rPr>
          <w:rFonts w:ascii="宋体;SimSun" w:hAnsi="宋体;SimSun" w:eastAsia="宋体;SimSun" w:cs="宋体;SimSun"/>
          <w:color w:val="auto"/>
          <w:sz w:val="24"/>
          <w:szCs w:val="24"/>
          <w:highlight w:val="none"/>
        </w:rPr>
        <w:t xml:space="preserve">；</w:t>
      </w:r>
      <w:r/>
    </w:p>
    <w:p>
      <w:pPr>
        <w:ind w:firstLine="480"/>
        <w:spacing w:line="500" w:lineRule="exact"/>
        <w:rPr>
          <w:color w:val="auto"/>
          <w:highlight w:val="none"/>
        </w:rPr>
      </w:pPr>
      <w:r>
        <w:rPr>
          <w:rFonts w:ascii="宋体;SimSun" w:hAnsi="宋体;SimSun" w:eastAsia="宋体;SimSun" w:cs="宋体;SimSu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本企业对上述声明内容的真实性负责。如有虚假，将依法承担相应责任。</w:t>
      </w:r>
      <w:r/>
    </w:p>
    <w:p>
      <w:pPr>
        <w:ind w:right="162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right="1620" w:firstLine="28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企业名称（盖章）：</w:t>
      </w:r>
      <w:r/>
    </w:p>
    <w:p>
      <w:pPr>
        <w:ind w:right="1140" w:firstLine="28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 期：</w:t>
      </w:r>
      <w:r/>
    </w:p>
    <w:p>
      <w:pPr>
        <w:ind w:right="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right="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right="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填报说明：</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2、请供应商如实填写，所填内容将作为评审的依据，如填写不完整或不一致或填写有误，将承担一切不利后果。</w:t>
      </w:r>
      <w:r/>
    </w:p>
    <w:p>
      <w:pPr>
        <w:ind w:firstLine="48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3、中标人的《中小企业声明函》随中标结果公开。</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jc w:val="left"/>
        <w:keepLines/>
        <w:keepNext/>
        <w:spacing w:before="360" w:after="200" w:line="360" w:lineRule="auto"/>
        <w:rPr>
          <w:rFonts w:ascii="宋体;SimSun" w:hAnsi="宋体;SimSun" w:eastAsia="宋体;SimSun" w:cs="宋体;SimSun"/>
          <w:b/>
          <w:color w:val="auto"/>
          <w:sz w:val="36"/>
          <w:highlight w:val="none"/>
        </w:rPr>
        <w:outlineLvl w:val="1"/>
      </w:pPr>
      <w:r>
        <w:rPr>
          <w:rFonts w:ascii="宋体;SimSun" w:hAnsi="宋体;SimSun" w:eastAsia="宋体;SimSun" w:cs="宋体;SimSun"/>
          <w:b/>
          <w:color w:val="auto"/>
          <w:sz w:val="36"/>
          <w:highlight w:val="none"/>
        </w:rPr>
        <w:t xml:space="preserve">十二、残疾人福利性单位声明函</w:t>
      </w:r>
      <w:r/>
    </w:p>
    <w:p>
      <w:pPr>
        <w:jc w:val="center"/>
        <w:spacing w:line="360" w:lineRule="auto"/>
        <w:tabs>
          <w:tab w:val="left" w:pos="360" w:leader="none"/>
        </w:tabs>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 xml:space="preserve">残疾人福利性单位声明函</w:t>
      </w:r>
      <w:r/>
    </w:p>
    <w:p>
      <w:pPr>
        <w:jc w:val="center"/>
        <w:spacing w:line="360" w:lineRule="auto"/>
        <w:tabs>
          <w:tab w:val="left" w:pos="360" w:leader="none"/>
        </w:tabs>
        <w:rPr>
          <w:rFonts w:ascii="宋体;SimSun" w:hAnsi="宋体;SimSun" w:eastAsia="宋体;SimSun" w:cs="宋体;SimSun"/>
          <w:bCs/>
          <w:color w:val="auto"/>
          <w:sz w:val="24"/>
          <w:szCs w:val="21"/>
          <w:highlight w:val="none"/>
        </w:rPr>
      </w:pPr>
      <w:r>
        <w:rPr>
          <w:rFonts w:ascii="宋体;SimSun" w:hAnsi="宋体;SimSun" w:eastAsia="宋体;SimSun" w:cs="宋体;SimSun"/>
          <w:bCs/>
          <w:color w:val="auto"/>
          <w:sz w:val="24"/>
          <w:szCs w:val="21"/>
          <w:highlight w:val="none"/>
        </w:rPr>
      </w:r>
      <w:r/>
    </w:p>
    <w:p>
      <w:pPr>
        <w:ind w:firstLine="480"/>
        <w:jc w:val="left"/>
        <w:spacing w:line="500" w:lineRule="exact"/>
        <w:rPr>
          <w:color w:val="auto"/>
          <w:highlight w:val="none"/>
        </w:rPr>
      </w:pPr>
      <w:r>
        <w:rPr>
          <w:rFonts w:ascii="宋体;SimSun" w:hAnsi="宋体;SimSun" w:eastAsia="宋体;SimSun" w:cs="宋体;SimSun"/>
          <w:color w:val="auto"/>
          <w:sz w:val="24"/>
          <w:szCs w:val="21"/>
          <w:highlight w:val="none"/>
        </w:rPr>
        <w:t xml:space="preserve">本单位郑重声明，根据《财政部 民政部 中国残疾人联合会关于促进残疾人就业政府采购政策的通知》（财库</w:t>
      </w:r>
      <w:r>
        <w:rPr>
          <w:rFonts w:ascii="宋体;SimSun" w:hAnsi="宋体;SimSun" w:eastAsia="宋体;SimSun" w:cs="宋体;SimSun"/>
          <w:color w:val="auto"/>
          <w:sz w:val="24"/>
          <w:szCs w:val="24"/>
          <w:highlight w:val="none"/>
        </w:rPr>
        <w:t xml:space="preserve">〔2017〕</w:t>
      </w:r>
      <w:r>
        <w:rPr>
          <w:rFonts w:ascii="宋体;SimSun" w:hAnsi="宋体;SimSun" w:eastAsia="宋体;SimSun" w:cs="宋体;SimSun"/>
          <w:color w:val="auto"/>
          <w:sz w:val="24"/>
          <w:szCs w:val="21"/>
          <w:highlight w:val="none"/>
        </w:rPr>
        <w:t xml:space="preserve">141号）的规定，本单位为符合条件的残疾人福利性单位，且本单位参加单位的项目（</w:t>
      </w:r>
      <w:r>
        <w:rPr>
          <w:rFonts w:ascii="宋体;SimSun" w:hAnsi="宋体;SimSun" w:eastAsia="宋体;SimSun" w:cs="宋体;SimSun"/>
          <w:color w:val="auto"/>
          <w:sz w:val="24"/>
          <w:szCs w:val="24"/>
          <w:highlight w:val="none"/>
        </w:rPr>
        <w:t xml:space="preserve">项目编号：，分包号：</w:t>
      </w:r>
      <w:r>
        <w:rPr>
          <w:rFonts w:ascii="宋体;SimSun" w:hAnsi="宋体;SimSun" w:eastAsia="宋体;SimSun" w:cs="宋体;SimSun"/>
          <w:color w:val="auto"/>
          <w:sz w:val="24"/>
          <w:szCs w:val="21"/>
          <w:highlight w:val="none"/>
        </w:rPr>
        <w:t xml:space="preserve">）采购活动由本单位提供全部服务。</w:t>
      </w:r>
      <w:r/>
    </w:p>
    <w:p>
      <w:pPr>
        <w:ind w:firstLine="480"/>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 xml:space="preserve">本单位对上述声明的真实性负责。如有虚假，将依法承担相应责任。</w:t>
      </w:r>
      <w:r/>
    </w:p>
    <w:p>
      <w:pPr>
        <w:ind w:firstLine="480"/>
        <w:spacing w:line="500" w:lineRule="exac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r>
      <w:r/>
    </w:p>
    <w:p>
      <w:pPr>
        <w:ind w:right="1620" w:firstLine="28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单位名称（盖章）：</w:t>
      </w:r>
      <w:r/>
    </w:p>
    <w:p>
      <w:pPr>
        <w:ind w:right="1140" w:firstLine="2880"/>
        <w:spacing w:line="56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 期：</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spacing w:line="360" w:lineRule="auto"/>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 xml:space="preserve">填报说明：</w:t>
      </w:r>
      <w:r/>
    </w:p>
    <w:p>
      <w:pPr>
        <w:ind w:firstLine="480"/>
        <w:jc w:val="left"/>
        <w:spacing w:line="360" w:lineRule="auto"/>
        <w:rPr>
          <w:color w:val="auto"/>
          <w:highlight w:val="none"/>
        </w:rPr>
      </w:pPr>
      <w:r>
        <w:rPr>
          <w:rFonts w:ascii="宋体;SimSun" w:hAnsi="宋体;SimSun" w:eastAsia="宋体;SimSun" w:cs="宋体;SimSun"/>
          <w:bCs/>
          <w:color w:val="auto"/>
          <w:sz w:val="24"/>
          <w:szCs w:val="24"/>
          <w:highlight w:val="none"/>
        </w:rPr>
        <w:t xml:space="preserve">1、</w:t>
      </w:r>
      <w:r>
        <w:rPr>
          <w:rFonts w:ascii="宋体;SimSun" w:hAnsi="宋体;SimSun" w:eastAsia="宋体;SimSun" w:cs="宋体;SimSun"/>
          <w:color w:val="auto"/>
          <w:sz w:val="24"/>
          <w:szCs w:val="24"/>
          <w:highlight w:val="none"/>
        </w:rPr>
        <w:t xml:space="preserve">请供应商如实填写，</w:t>
      </w:r>
      <w:r>
        <w:rPr>
          <w:rFonts w:ascii="宋体;SimSun" w:hAnsi="宋体;SimSun" w:eastAsia="宋体;SimSun" w:cs="宋体;SimSun"/>
          <w:bCs/>
          <w:color w:val="auto"/>
          <w:sz w:val="24"/>
          <w:highlight w:val="none"/>
        </w:rPr>
        <w:t xml:space="preserve">所填内容将作为评审的依据</w:t>
      </w:r>
      <w:r>
        <w:rPr>
          <w:rFonts w:ascii="宋体;SimSun" w:hAnsi="宋体;SimSun" w:eastAsia="宋体;SimSun" w:cs="宋体;SimSun"/>
          <w:color w:val="auto"/>
          <w:sz w:val="24"/>
          <w:szCs w:val="24"/>
          <w:highlight w:val="none"/>
        </w:rPr>
        <w:t xml:space="preserve">，如填写不完整或不一致或填写有误，将承担一切不利后果。</w:t>
      </w:r>
      <w:r/>
    </w:p>
    <w:p>
      <w:pPr>
        <w:ind w:firstLine="480"/>
        <w:jc w:val="left"/>
        <w:spacing w:line="360" w:lineRule="auto"/>
        <w:rPr>
          <w:color w:val="auto"/>
          <w:highlight w:val="none"/>
        </w:rPr>
      </w:pPr>
      <w:r>
        <w:rPr>
          <w:rFonts w:ascii="宋体;SimSun" w:hAnsi="宋体;SimSun" w:eastAsia="宋体;SimSun" w:cs="宋体;SimSun"/>
          <w:bCs/>
          <w:color w:val="auto"/>
          <w:sz w:val="24"/>
          <w:szCs w:val="24"/>
          <w:highlight w:val="none"/>
        </w:rPr>
        <w:t xml:space="preserve">2、中标人的《残疾人福利性单位声明函》随中标结果公开。</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十三、投标分项报价表</w:t>
      </w:r>
      <w:r/>
    </w:p>
    <w:p>
      <w:pPr>
        <w:jc w:val="center"/>
        <w:spacing w:line="360" w:lineRule="auto"/>
        <w:tabs>
          <w:tab w:val="left" w:pos="360" w:leader="none"/>
        </w:tabs>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 xml:space="preserve">投标分项报价表</w:t>
      </w:r>
      <w:r/>
    </w:p>
    <w:p>
      <w:pPr>
        <w:jc w:val="center"/>
        <w:spacing w:line="360" w:lineRule="auto"/>
        <w:tabs>
          <w:tab w:val="left" w:pos="360" w:leader="none"/>
        </w:tabs>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r>
      <w:r/>
    </w:p>
    <w:p>
      <w:pPr>
        <w:ind w:firstLine="36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项目名称： 项目编号： 分包号：</w:t>
      </w:r>
      <w:r/>
    </w:p>
    <w:p>
      <w:pPr>
        <w:jc w:val="right"/>
        <w:spacing w:line="360" w:lineRule="auto"/>
        <w:rPr>
          <w:color w:val="auto"/>
          <w:highlight w:val="none"/>
        </w:rPr>
      </w:pPr>
      <w:r>
        <w:rPr>
          <w:color w:val="auto"/>
          <w:highlight w:val="none"/>
        </w:rPr>
        <w:t xml:space="preserve">单位：元</w:t>
      </w:r>
      <w:r/>
    </w:p>
    <w:tbl>
      <w:tblPr>
        <w:tblStyle w:val="1006"/>
        <w:tblW w:w="9639" w:type="dxa"/>
        <w:jc w:val="center"/>
        <w:tblLayout w:type="fixed"/>
        <w:tblCellMar>
          <w:left w:w="108" w:type="dxa"/>
          <w:top w:w="0" w:type="dxa"/>
          <w:right w:w="108" w:type="dxa"/>
          <w:bottom w:w="0" w:type="dxa"/>
        </w:tblCellMar>
        <w:tblLook w:val="04A0" w:firstRow="1" w:lastRow="0" w:firstColumn="1" w:lastColumn="0" w:noHBand="0" w:noVBand="1"/>
      </w:tblPr>
      <w:tblGrid>
        <w:gridCol w:w="1134"/>
        <w:gridCol w:w="2083"/>
        <w:gridCol w:w="1462"/>
        <w:gridCol w:w="1133"/>
        <w:gridCol w:w="1134"/>
        <w:gridCol w:w="2693"/>
      </w:tblGrid>
      <w:tr>
        <w:trPr>
          <w:cantSplit/>
          <w:jc w:val="center"/>
          <w:trHeight w:val="898"/>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spacing w:line="560" w:lineRule="exact"/>
              <w:rPr>
                <w:rFonts w:ascii="宋体;SimSun" w:hAnsi="宋体;SimSun" w:eastAsia="宋体;SimSun" w:cs="宋体;SimSun"/>
                <w:color w:val="auto"/>
                <w:sz w:val="24"/>
                <w:highlight w:val="none"/>
              </w:rPr>
            </w:pPr>
            <w:r>
              <w:rPr>
                <w:rFonts w:ascii="宋体;SimSun" w:hAnsi="宋体;SimSun" w:eastAsia="宋体;SimSun" w:cs="宋体;SimSun"/>
                <w:color w:val="auto"/>
                <w:sz w:val="24"/>
                <w:highlight w:val="none"/>
              </w:rPr>
              <w:t xml:space="preserve">产品、服务（标的）名称</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 xml:space="preserve">分项单位</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 xml:space="preserve">数量</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 xml:space="preserve">单价</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 xml:space="preserve">单项</w:t>
            </w:r>
            <w:r/>
          </w:p>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 xml:space="preserve">合计价</w:t>
            </w:r>
            <w:r/>
          </w:p>
        </w:tc>
      </w:tr>
      <w:tr>
        <w:trPr>
          <w:cantSplit/>
          <w:jc w:val="center"/>
          <w:trHeight w:val="501"/>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r>
      <w:tr>
        <w:trPr>
          <w:cantSplit/>
          <w:jc w:val="center"/>
          <w:trHeight w:val="501"/>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r>
      <w:tr>
        <w:trPr>
          <w:cantSplit/>
          <w:jc w:val="center"/>
          <w:trHeight w:val="501"/>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r>
      <w:tr>
        <w:trPr>
          <w:cantSplit/>
          <w:jc w:val="center"/>
          <w:trHeight w:val="501"/>
        </w:trPr>
        <w:tc>
          <w:tcPr>
            <w:gridSpan w:val="5"/>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 xml:space="preserve">总计（元）</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560" w:lineRule="exact"/>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r>
            <w:r/>
          </w:p>
        </w:tc>
      </w:tr>
    </w:tbl>
    <w:p>
      <w:pPr>
        <w:ind w:firstLine="420"/>
        <w:spacing w:line="360" w:lineRule="auto"/>
        <w:rPr>
          <w:rFonts w:ascii="宋体;SimSun" w:hAnsi="宋体;SimSun" w:eastAsia="宋体;SimSun" w:cs="宋体;SimSun"/>
          <w:color w:val="auto"/>
          <w:szCs w:val="24"/>
          <w:highlight w:val="none"/>
        </w:rPr>
      </w:pPr>
      <w:r>
        <w:rPr>
          <w:rFonts w:ascii="宋体;SimSun" w:hAnsi="宋体;SimSun" w:eastAsia="宋体;SimSun" w:cs="宋体;SimSun"/>
          <w:color w:val="auto"/>
          <w:szCs w:val="24"/>
          <w:highlight w:val="none"/>
        </w:rP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投标人（盖章）：</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法定代表人（单位负责人）或委托代理人（签字或盖章）：</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年 月 日</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十四、商务要求响应及偏离表</w:t>
      </w:r>
      <w:r/>
    </w:p>
    <w:p>
      <w:pPr>
        <w:jc w:val="center"/>
        <w:spacing w:line="360" w:lineRule="auto"/>
        <w:tabs>
          <w:tab w:val="left" w:pos="360" w:leader="none"/>
        </w:tabs>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 xml:space="preserve">商务要求响应及偏离表</w:t>
      </w:r>
      <w:r/>
    </w:p>
    <w:p>
      <w:pPr>
        <w:ind w:firstLine="36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项目名称： 项目编号： 分包号：</w:t>
      </w:r>
      <w:r/>
    </w:p>
    <w:tbl>
      <w:tblPr>
        <w:tblStyle w:val="1006"/>
        <w:tblW w:w="9746" w:type="dxa"/>
        <w:tblInd w:w="-113" w:type="dxa"/>
        <w:tblLayout w:type="fixed"/>
        <w:tblCellMar>
          <w:left w:w="108" w:type="dxa"/>
          <w:top w:w="0" w:type="dxa"/>
          <w:right w:w="108" w:type="dxa"/>
          <w:bottom w:w="0" w:type="dxa"/>
        </w:tblCellMar>
        <w:tblLook w:val="04A0" w:firstRow="1" w:lastRow="0" w:firstColumn="1" w:lastColumn="0" w:noHBand="0" w:noVBand="1"/>
      </w:tblPr>
      <w:tblGrid>
        <w:gridCol w:w="1241"/>
        <w:gridCol w:w="3262"/>
        <w:gridCol w:w="3401"/>
        <w:gridCol w:w="1842"/>
      </w:tblGrid>
      <w:tr>
        <w:trPr>
          <w:cantSplit/>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招标文件要求</w:t>
            </w:r>
            <w:r/>
          </w:p>
        </w:tc>
        <w:tc>
          <w:tcPr>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投标响应情况</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2</w:t>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3</w:t>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w:t>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bl>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投标人（盖章）：</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法定代表人（单位负责人）或委托代理人（签字或盖章）：</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年 月 日</w:t>
      </w:r>
      <w:r/>
    </w:p>
    <w:p>
      <w:pPr>
        <w:rPr>
          <w:rFonts w:ascii="宋体;SimSun" w:hAnsi="宋体;SimSun" w:eastAsia="宋体;SimSun" w:cs="宋体;SimSun"/>
          <w:color w:val="auto"/>
          <w:sz w:val="24"/>
          <w:szCs w:val="24"/>
          <w:highlight w:val="none"/>
        </w:rPr>
      </w:pPr>
      <w:r/>
      <w:bookmarkStart w:id="6" w:name="_格式2__法定代表人授权书"/>
      <w:r/>
      <w:bookmarkEnd w:id="6"/>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sectPr>
          <w:headerReference w:type="default" r:id="rId10"/>
          <w:footerReference w:type="default" r:id="rId20"/>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SimSun" w:hAnsi="宋体;SimSun" w:eastAsia="宋体;SimSun" w:cs="宋体;SimSun"/>
          <w:color w:val="auto"/>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十五、技术要求响应及偏离表</w:t>
      </w:r>
      <w:r/>
    </w:p>
    <w:p>
      <w:pPr>
        <w:jc w:val="center"/>
        <w:spacing w:line="360" w:lineRule="auto"/>
        <w:tabs>
          <w:tab w:val="left" w:pos="360" w:leader="none"/>
        </w:tabs>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 xml:space="preserve">技术要求响应及偏离表</w:t>
      </w:r>
      <w:r/>
    </w:p>
    <w:p>
      <w:pPr>
        <w:jc w:val="left"/>
        <w:spacing w:line="360" w:lineRule="auto"/>
        <w:rPr>
          <w:color w:val="auto"/>
          <w:highlight w:val="none"/>
        </w:rPr>
      </w:pPr>
      <w:r>
        <w:rPr>
          <w:rFonts w:ascii="宋体;SimSun" w:hAnsi="宋体;SimSun" w:eastAsia="宋体;SimSun" w:cs="宋体;SimSun"/>
          <w:color w:val="auto"/>
          <w:sz w:val="36"/>
          <w:szCs w:val="24"/>
          <w:highlight w:val="none"/>
        </w:rPr>
        <w:t xml:space="preserve">项目名称： 项目编号： 分包号： </w:t>
      </w:r>
      <w:r/>
    </w:p>
    <w:tbl>
      <w:tblPr>
        <w:tblStyle w:val="1006"/>
        <w:tblW w:w="8504" w:type="dxa"/>
        <w:jc w:val="center"/>
        <w:tblLayout w:type="fixed"/>
        <w:tblCellMar>
          <w:left w:w="108" w:type="dxa"/>
          <w:top w:w="0" w:type="dxa"/>
          <w:right w:w="108" w:type="dxa"/>
          <w:bottom w:w="0" w:type="dxa"/>
        </w:tblCellMar>
        <w:tblLook w:val="04A0" w:firstRow="1" w:lastRow="0" w:firstColumn="1" w:lastColumn="0" w:noHBand="0" w:noVBand="1"/>
      </w:tblPr>
      <w:tblGrid>
        <w:gridCol w:w="808"/>
        <w:gridCol w:w="3274"/>
        <w:gridCol w:w="3023"/>
        <w:gridCol w:w="1399"/>
      </w:tblGrid>
      <w:tr>
        <w:trPr>
          <w:cantSplit/>
          <w:jc w:val="center"/>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招标文件要求</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投标响应情况</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超出、符合或偏离</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2</w:t>
            </w:r>
            <w:r/>
          </w:p>
        </w:tc>
        <w:tc>
          <w:tcPr>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3</w:t>
            </w:r>
            <w:r/>
          </w:p>
        </w:tc>
        <w:tc>
          <w:tcPr>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w:t>
            </w:r>
            <w:r/>
          </w:p>
        </w:tc>
        <w:tc>
          <w:tcPr>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bl>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投标人（盖章）：</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法定代表人（单位负责人）或委托代理人（签字或盖章）：</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年 月 日</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iCs/>
          <w:color w:val="auto"/>
          <w:sz w:val="36"/>
          <w:szCs w:val="24"/>
          <w:highlight w:val="none"/>
        </w:rPr>
      </w:pPr>
      <w:r>
        <w:rPr>
          <w:rFonts w:ascii="宋体;SimSun" w:hAnsi="宋体;SimSun" w:eastAsia="宋体;SimSun" w:cs="宋体;SimSun"/>
          <w:iCs/>
          <w:color w:val="auto"/>
          <w:sz w:val="36"/>
          <w:szCs w:val="24"/>
          <w:highlight w:val="none"/>
        </w:rPr>
      </w:r>
      <w:r/>
    </w:p>
    <w:p>
      <w:pPr>
        <w:rPr>
          <w:rFonts w:ascii="宋体;SimSun" w:hAnsi="宋体;SimSun" w:eastAsia="宋体;SimSun" w:cs="宋体;SimSun"/>
          <w:iCs/>
          <w:color w:val="auto"/>
          <w:sz w:val="36"/>
          <w:szCs w:val="36"/>
          <w:highlight w:val="none"/>
        </w:rPr>
      </w:pPr>
      <w:r>
        <w:rPr>
          <w:rFonts w:ascii="宋体;SimSun" w:hAnsi="宋体;SimSun" w:eastAsia="宋体;SimSun" w:cs="宋体;SimSun"/>
          <w:iCs/>
          <w:color w:val="auto"/>
          <w:sz w:val="36"/>
          <w:szCs w:val="36"/>
          <w:highlight w:val="none"/>
        </w:rPr>
      </w:r>
      <w:r/>
    </w:p>
    <w:p>
      <w:pPr>
        <w:rPr>
          <w:rFonts w:ascii="宋体;SimSun" w:hAnsi="宋体;SimSun" w:eastAsia="宋体;SimSun" w:cs="宋体;SimSun"/>
          <w:iCs/>
          <w:color w:val="auto"/>
          <w:sz w:val="36"/>
          <w:szCs w:val="36"/>
          <w:highlight w:val="none"/>
        </w:rPr>
      </w:pPr>
      <w:r>
        <w:rPr>
          <w:rFonts w:ascii="宋体;SimSun" w:hAnsi="宋体;SimSun" w:eastAsia="宋体;SimSun" w:cs="宋体;SimSun"/>
          <w:iCs/>
          <w:color w:val="auto"/>
          <w:sz w:val="36"/>
          <w:szCs w:val="36"/>
          <w:highlight w:val="none"/>
        </w:rPr>
      </w:r>
      <w:r/>
    </w:p>
    <w:p>
      <w:pPr>
        <w:rPr>
          <w:rFonts w:ascii="宋体;SimSun" w:hAnsi="宋体;SimSun" w:eastAsia="宋体;SimSun" w:cs="宋体;SimSun"/>
          <w:color w:val="auto"/>
          <w:sz w:val="36"/>
          <w:szCs w:val="36"/>
          <w:highlight w:val="none"/>
        </w:rPr>
        <w:sectPr>
          <w:headerReference w:type="default" r:id="rId11"/>
          <w:footerReference w:type="default" r:id="rId21"/>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SimSun" w:hAnsi="宋体;SimSun" w:eastAsia="宋体;SimSun" w:cs="宋体;SimSun"/>
          <w:color w:val="auto"/>
          <w:sz w:val="36"/>
          <w:szCs w:val="36"/>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十六、类似项目业绩一览表</w:t>
      </w:r>
      <w:r/>
    </w:p>
    <w:p>
      <w:pPr>
        <w:jc w:val="center"/>
        <w:spacing w:line="360" w:lineRule="auto"/>
        <w:tabs>
          <w:tab w:val="left" w:pos="360" w:leader="none"/>
        </w:tabs>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 xml:space="preserve">类似项目业绩一览表</w:t>
      </w:r>
      <w:r/>
    </w:p>
    <w:p>
      <w:pPr>
        <w:ind w:firstLine="24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项目名称： 项目编号： 分包号：</w:t>
      </w:r>
      <w:r/>
    </w:p>
    <w:tbl>
      <w:tblPr>
        <w:tblStyle w:val="1006"/>
        <w:tblW w:w="9638" w:type="dxa"/>
        <w:jc w:val="center"/>
        <w:tblLayout w:type="fixed"/>
        <w:tblCellMar>
          <w:left w:w="108" w:type="dxa"/>
          <w:top w:w="0" w:type="dxa"/>
          <w:right w:w="108" w:type="dxa"/>
          <w:bottom w:w="0" w:type="dxa"/>
        </w:tblCellMar>
        <w:tblLook w:val="04A0" w:firstRow="1" w:lastRow="0" w:firstColumn="1" w:lastColumn="0" w:noHBand="0" w:noVBand="1"/>
      </w:tblPr>
      <w:tblGrid>
        <w:gridCol w:w="1417"/>
        <w:gridCol w:w="2693"/>
        <w:gridCol w:w="1986"/>
        <w:gridCol w:w="1983"/>
        <w:gridCol w:w="1559"/>
      </w:tblGrid>
      <w:tr>
        <w:trPr>
          <w:cantSplit/>
          <w:jc w:val="center"/>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auto"/>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480" w:lineRule="auto"/>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480" w:lineRule="auto"/>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签订时间</w:t>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spacing w:line="480" w:lineRule="auto"/>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采购单位</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80" w:lineRule="auto"/>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主要标的</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6" w:type="dxa"/>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2</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6" w:type="dxa"/>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3</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6" w:type="dxa"/>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6" w:type="dxa"/>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bl>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投标人（盖章）：</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法定代表人（单位负责人）或委托代理人（签字或盖章）：</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年 月 日</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iCs/>
          <w:color w:val="auto"/>
          <w:sz w:val="36"/>
          <w:highlight w:val="none"/>
        </w:rPr>
      </w:pPr>
      <w:r>
        <w:rPr>
          <w:rFonts w:ascii="宋体;SimSun" w:hAnsi="宋体;SimSun" w:eastAsia="宋体;SimSun" w:cs="宋体;SimSun"/>
          <w:iCs/>
          <w:color w:val="auto"/>
          <w:sz w:val="36"/>
          <w:highlight w:val="none"/>
        </w:rPr>
      </w:r>
      <w:r/>
    </w:p>
    <w:p>
      <w:pPr>
        <w:rPr>
          <w:rFonts w:ascii="宋体;SimSun" w:hAnsi="宋体;SimSun" w:eastAsia="宋体;SimSun" w:cs="宋体;SimSun"/>
          <w:iCs/>
          <w:color w:val="auto"/>
          <w:sz w:val="36"/>
          <w:highlight w:val="none"/>
        </w:rPr>
      </w:pPr>
      <w:r>
        <w:rPr>
          <w:rFonts w:ascii="宋体;SimSun" w:hAnsi="宋体;SimSun" w:eastAsia="宋体;SimSun" w:cs="宋体;SimSun"/>
          <w:iCs/>
          <w:color w:val="auto"/>
          <w:sz w:val="36"/>
          <w:highlight w:val="none"/>
        </w:rPr>
      </w:r>
      <w:r/>
    </w:p>
    <w:p>
      <w:pPr>
        <w:rPr>
          <w:rFonts w:ascii="宋体;SimSun" w:hAnsi="宋体;SimSun" w:eastAsia="宋体;SimSun" w:cs="宋体;SimSun"/>
          <w:iCs/>
          <w:color w:val="auto"/>
          <w:sz w:val="36"/>
          <w:highlight w:val="none"/>
        </w:rPr>
      </w:pPr>
      <w:r>
        <w:rPr>
          <w:rFonts w:ascii="宋体;SimSun" w:hAnsi="宋体;SimSun" w:eastAsia="宋体;SimSun" w:cs="宋体;SimSun"/>
          <w:iCs/>
          <w:color w:val="auto"/>
          <w:sz w:val="36"/>
          <w:highlight w:val="none"/>
        </w:rPr>
      </w:r>
      <w:r/>
    </w:p>
    <w:p>
      <w:pPr>
        <w:rPr>
          <w:rFonts w:ascii="宋体;SimSun" w:hAnsi="宋体;SimSun" w:eastAsia="宋体;SimSun" w:cs="宋体;SimSun"/>
          <w:iCs/>
          <w:color w:val="auto"/>
          <w:sz w:val="36"/>
          <w:highlight w:val="none"/>
        </w:rPr>
        <w:sectPr>
          <w:headerReference w:type="default" r:id="rId12"/>
          <w:footerReference w:type="default" r:id="rId22"/>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SimSun" w:hAnsi="宋体;SimSun" w:eastAsia="宋体;SimSun" w:cs="宋体;SimSun"/>
          <w:iCs/>
          <w:color w:val="auto"/>
          <w:sz w:val="36"/>
          <w:highlight w:val="none"/>
        </w:rPr>
      </w:r>
      <w:r/>
    </w:p>
    <w:p>
      <w:pPr>
        <w:jc w:val="left"/>
        <w:keepLines/>
        <w:keepNext/>
        <w:spacing w:before="360" w:after="200" w:line="360" w:lineRule="auto"/>
        <w:rPr>
          <w:rFonts w:ascii="宋体;SimSun" w:hAnsi="宋体;SimSun" w:eastAsia="宋体;SimSun" w:cs="宋体;SimSun"/>
          <w:b/>
          <w:iCs/>
          <w:color w:val="auto"/>
          <w:sz w:val="36"/>
          <w:highlight w:val="none"/>
        </w:rPr>
        <w:outlineLvl w:val="1"/>
      </w:pPr>
      <w:r>
        <w:rPr>
          <w:rFonts w:ascii="宋体;SimSun" w:hAnsi="宋体;SimSun" w:eastAsia="宋体;SimSun" w:cs="宋体;SimSun"/>
          <w:b/>
          <w:iCs/>
          <w:color w:val="auto"/>
          <w:sz w:val="36"/>
          <w:highlight w:val="none"/>
        </w:rPr>
        <w:t xml:space="preserve">十七、项目团队人员一览表</w:t>
      </w:r>
      <w:r/>
    </w:p>
    <w:p>
      <w:pPr>
        <w:jc w:val="center"/>
        <w:spacing w:line="360" w:lineRule="auto"/>
        <w:tabs>
          <w:tab w:val="left" w:pos="360" w:leader="none"/>
        </w:tabs>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 xml:space="preserve">项目团队人员一览表</w:t>
      </w:r>
      <w:r/>
    </w:p>
    <w:p>
      <w:pPr>
        <w:ind w:firstLine="600"/>
        <w:jc w:val="left"/>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项目名称： 项目编号： 分包号：</w:t>
      </w:r>
      <w:r/>
    </w:p>
    <w:tbl>
      <w:tblPr>
        <w:tblStyle w:val="1006"/>
        <w:tblW w:w="9566" w:type="dxa"/>
        <w:jc w:val="center"/>
        <w:tblLayout w:type="fixed"/>
        <w:tblCellMar>
          <w:left w:w="108" w:type="dxa"/>
          <w:top w:w="0" w:type="dxa"/>
          <w:right w:w="108" w:type="dxa"/>
          <w:bottom w:w="0" w:type="dxa"/>
        </w:tblCellMar>
        <w:tblLook w:val="04A0" w:firstRow="1" w:lastRow="0" w:firstColumn="1" w:lastColumn="0" w:noHBand="0" w:noVBand="1"/>
      </w:tblPr>
      <w:tblGrid>
        <w:gridCol w:w="1099"/>
        <w:gridCol w:w="1418"/>
        <w:gridCol w:w="2410"/>
        <w:gridCol w:w="1275"/>
        <w:gridCol w:w="1275"/>
        <w:gridCol w:w="2089"/>
      </w:tblGrid>
      <w:tr>
        <w:trPr>
          <w:cantSplit/>
          <w:jc w:val="center"/>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spacing w:line="360" w:lineRule="auto"/>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姓名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60" w:lineRule="auto"/>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本项目拟担任职务</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360" w:lineRule="auto"/>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技术职称、专业资质</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学历</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年龄</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主要资历及担任过的职务</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tc>
      </w:tr>
    </w:tbl>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投标人（盖章）：</w:t>
      </w:r>
      <w:r/>
    </w:p>
    <w:p>
      <w:pPr>
        <w:ind w:firstLine="480"/>
        <w:spacing w:line="360" w:lineRule="auto"/>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法定代表人（单位负责人）或委托代理人（签字或盖章）：</w:t>
      </w:r>
      <w:r/>
    </w:p>
    <w:p>
      <w:pPr>
        <w:ind w:firstLine="48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年 月 日</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注：投标人根据项目需求、评分办法编制项目团队人员一览表，格式不做固定要求。</w:t>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jc w:val="left"/>
        <w:keepLines/>
        <w:keepNext/>
        <w:spacing w:before="360" w:after="200" w:line="360" w:lineRule="auto"/>
        <w:rPr>
          <w:rFonts w:ascii="宋体;SimSun" w:hAnsi="宋体;SimSun" w:eastAsia="宋体;SimSun" w:cs="宋体;SimSun"/>
          <w:b/>
          <w:color w:val="auto"/>
          <w:sz w:val="36"/>
          <w:highlight w:val="none"/>
        </w:rPr>
        <w:outlineLvl w:val="1"/>
      </w:pPr>
      <w:r>
        <w:rPr>
          <w:rFonts w:ascii="宋体;SimSun" w:hAnsi="宋体;SimSun" w:eastAsia="宋体;SimSun" w:cs="宋体;SimSun"/>
          <w:b/>
          <w:color w:val="auto"/>
          <w:sz w:val="36"/>
          <w:highlight w:val="none"/>
        </w:rPr>
        <w:t xml:space="preserve">十八、开标一览表</w:t>
      </w:r>
      <w:r/>
    </w:p>
    <w:p>
      <w:pPr>
        <w:jc w:val="left"/>
        <w:spacing w:line="360" w:lineRule="auto"/>
        <w:rPr>
          <w:color w:val="auto"/>
          <w:highlight w:val="none"/>
        </w:rPr>
      </w:pPr>
      <w:r>
        <w:rPr>
          <w:rFonts w:ascii="宋体;SimSun" w:hAnsi="宋体;SimSun" w:eastAsia="宋体;SimSun" w:cs="宋体;SimSun"/>
          <w:color w:val="auto"/>
          <w:sz w:val="24"/>
          <w:szCs w:val="24"/>
          <w:highlight w:val="none"/>
        </w:rPr>
        <w:t xml:space="preserve">项目编号： 分包号：</w:t>
      </w:r>
      <w:r/>
    </w:p>
    <w:p>
      <w:pPr>
        <w:ind w:firstLine="480"/>
        <w:jc w:val="right"/>
        <w:spacing w:line="500" w:lineRule="exact"/>
        <w:rPr>
          <w:color w:val="auto"/>
          <w:highlight w:val="none"/>
        </w:rPr>
      </w:pPr>
      <w:r>
        <w:rPr>
          <w:color w:val="auto"/>
          <w:highlight w:val="none"/>
        </w:rPr>
        <w:t xml:space="preserve">货币单位：人民币元</w:t>
      </w:r>
      <w:r/>
    </w:p>
    <w:tbl>
      <w:tblPr>
        <w:tblStyle w:val="1006"/>
        <w:tblW w:w="9747" w:type="dxa"/>
        <w:tblInd w:w="-113" w:type="dxa"/>
        <w:tblLayout w:type="fixed"/>
        <w:tblCellMar>
          <w:left w:w="108" w:type="dxa"/>
          <w:top w:w="0" w:type="dxa"/>
          <w:right w:w="108" w:type="dxa"/>
          <w:bottom w:w="0" w:type="dxa"/>
        </w:tblCellMar>
        <w:tblLook w:val="04A0" w:firstRow="1" w:lastRow="0" w:firstColumn="1" w:lastColumn="0" w:noHBand="0" w:noVBand="1"/>
      </w:tblPr>
      <w:tblGrid>
        <w:gridCol w:w="2840"/>
        <w:gridCol w:w="2840"/>
        <w:gridCol w:w="4067"/>
      </w:tblGrid>
      <w:tr>
        <w:trPr/>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line="500" w:lineRule="exact"/>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line="500" w:lineRule="exact"/>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4067" w:type="dxa"/>
            <w:textDirection w:val="lrTb"/>
            <w:noWrap w:val="false"/>
          </w:tcPr>
          <w:p>
            <w:pPr>
              <w:jc w:val="center"/>
              <w:spacing w:line="500" w:lineRule="exact"/>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line="500" w:lineRule="exact"/>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line="500" w:lineRule="exact"/>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详见投标文件</w:t>
            </w:r>
            <w:r/>
          </w:p>
        </w:tc>
        <w:tc>
          <w:tcPr>
            <w:tcBorders>
              <w:top w:val="single" w:color="000000" w:sz="4" w:space="0"/>
              <w:left w:val="single" w:color="000000" w:sz="4" w:space="0"/>
              <w:bottom w:val="single" w:color="000000" w:sz="4" w:space="0"/>
              <w:right w:val="single" w:color="000000" w:sz="4" w:space="0"/>
            </w:tcBorders>
            <w:tcW w:w="4067" w:type="dxa"/>
            <w:textDirection w:val="lrTb"/>
            <w:noWrap w:val="false"/>
          </w:tcPr>
          <w:p>
            <w:pPr>
              <w:jc w:val="center"/>
              <w:spacing w:line="500" w:lineRule="exact"/>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 元</w:t>
            </w:r>
            <w:r/>
          </w:p>
        </w:tc>
      </w:tr>
      <w:tr>
        <w:trPr/>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line="500" w:lineRule="exact"/>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6907" w:type="dxa"/>
            <w:textDirection w:val="lrTb"/>
            <w:noWrap w:val="false"/>
          </w:tcPr>
          <w:p>
            <w:pPr>
              <w:jc w:val="center"/>
              <w:spacing w:line="500" w:lineRule="exact"/>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r>
            <w:r/>
          </w:p>
        </w:tc>
      </w:tr>
    </w:tbl>
    <w:p>
      <w:pPr>
        <w:ind w:firstLine="360"/>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投标人公章： （电子签章）</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40"/>
          <w:highlight w:val="none"/>
        </w:rPr>
      </w:pPr>
      <w:r>
        <w:rPr>
          <w:rFonts w:ascii="宋体;SimSun" w:hAnsi="宋体;SimSun" w:eastAsia="宋体;SimSun" w:cs="宋体;SimSun"/>
          <w:bCs/>
          <w:color w:val="auto"/>
          <w:sz w:val="40"/>
          <w:szCs w:val="40"/>
          <w:highlight w:val="none"/>
        </w:rPr>
      </w:r>
      <w:r/>
    </w:p>
    <w:p>
      <w:pPr>
        <w:jc w:val="left"/>
        <w:widowControl/>
        <w:rPr>
          <w:rFonts w:ascii="宋体;SimSun" w:hAnsi="宋体;SimSun" w:eastAsia="宋体;SimSun" w:cs="宋体;SimSun"/>
          <w:bCs/>
          <w:color w:val="auto"/>
          <w:sz w:val="40"/>
          <w:szCs w:val="40"/>
          <w:highlight w:val="none"/>
        </w:rPr>
      </w:pPr>
      <w:r>
        <w:rPr>
          <w:rFonts w:ascii="宋体;SimSun" w:hAnsi="宋体;SimSun" w:eastAsia="宋体;SimSun" w:cs="宋体;SimSun"/>
          <w:bCs/>
          <w:color w:val="auto"/>
          <w:sz w:val="40"/>
          <w:szCs w:val="40"/>
          <w:highlight w:val="none"/>
        </w:rPr>
      </w:r>
      <w:r/>
    </w:p>
    <w:p>
      <w:pPr>
        <w:jc w:val="left"/>
        <w:widowControl/>
        <w:rPr>
          <w:rFonts w:ascii="宋体;SimSun" w:hAnsi="宋体;SimSun" w:eastAsia="宋体;SimSun" w:cs="宋体;SimSun"/>
          <w:color w:val="auto"/>
          <w:sz w:val="40"/>
          <w:szCs w:val="40"/>
          <w:highlight w:val="none"/>
        </w:rPr>
      </w:pPr>
      <w:r>
        <w:rPr>
          <w:rFonts w:ascii="宋体;SimSun" w:hAnsi="宋体;SimSun" w:eastAsia="宋体;SimSun" w:cs="宋体;SimSun"/>
          <w:color w:val="auto"/>
          <w:sz w:val="40"/>
          <w:szCs w:val="40"/>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widowControl/>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center"/>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left"/>
        <w:keepLines/>
        <w:keepNext/>
        <w:spacing w:before="360" w:after="200" w:line="360" w:lineRule="auto"/>
        <w:rPr>
          <w:rFonts w:hint="eastAsia" w:ascii="宋体;SimSun" w:hAnsi="宋体;SimSun" w:eastAsia="宋体;SimSun" w:cs="宋体;SimSun"/>
          <w:b/>
          <w:iCs/>
          <w:color w:val="auto"/>
          <w:sz w:val="36"/>
          <w:highlight w:val="none"/>
        </w:rPr>
        <w:outlineLvl w:val="1"/>
      </w:pPr>
      <w:r>
        <w:rPr>
          <w:rFonts w:hint="eastAsia" w:ascii="宋体;SimSun" w:hAnsi="宋体;SimSun" w:eastAsia="宋体;SimSun" w:cs="宋体;SimSun"/>
          <w:b/>
          <w:iCs/>
          <w:color w:val="auto"/>
          <w:sz w:val="36"/>
          <w:highlight w:val="none"/>
          <w:lang w:val="en-US" w:eastAsia="zh-CN"/>
        </w:rPr>
        <w:t xml:space="preserve">十九、</w:t>
      </w:r>
      <w:r>
        <w:rPr>
          <w:rFonts w:hint="eastAsia" w:ascii="宋体;SimSun" w:hAnsi="宋体;SimSun" w:eastAsia="宋体;SimSun" w:cs="宋体;SimSun"/>
          <w:b/>
          <w:iCs/>
          <w:color w:val="auto"/>
          <w:sz w:val="36"/>
          <w:highlight w:val="none"/>
        </w:rPr>
        <w:t xml:space="preserve">关于符合本国产品标准的声明函（采购包号：XX）</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1154"/>
          <w:rFonts w:hint="eastAsia" w:ascii="宋体" w:hAnsi="宋体" w:eastAsia="宋体" w:cs="宋体"/>
          <w:i w:val="0"/>
          <w:color w:val="auto"/>
          <w:sz w:val="24"/>
          <w:szCs w:val="24"/>
          <w:highlight w:val="none"/>
          <w:u w:val="single"/>
          <w:shd w:val="clear" w:color="auto" w:fill="ffffff"/>
        </w:rPr>
        <w:t xml:space="preserve">（产品名称1）</w:t>
      </w:r>
      <w:r>
        <w:rPr>
          <w:rStyle w:val="1154"/>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1154"/>
          <w:rFonts w:hint="eastAsia" w:ascii="宋体" w:hAnsi="宋体" w:eastAsia="宋体" w:cs="宋体"/>
          <w:i w:val="0"/>
          <w:color w:val="auto"/>
          <w:sz w:val="24"/>
          <w:szCs w:val="24"/>
          <w:highlight w:val="none"/>
          <w:u w:val="single"/>
          <w:shd w:val="clear" w:color="auto" w:fill="ffffff"/>
        </w:rPr>
        <w:t xml:space="preserve">（厂名）</w:t>
      </w:r>
      <w:r>
        <w:rPr>
          <w:rStyle w:val="1154"/>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115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115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1154"/>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115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在中国境内完成。</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w:t>
      </w:r>
      <w:r>
        <w:rPr>
          <w:rFonts w:hint="eastAsia" w:ascii="宋体" w:hAnsi="宋体" w:eastAsia="宋体" w:cs="宋体"/>
          <w:color w:val="auto"/>
          <w:sz w:val="24"/>
          <w:szCs w:val="24"/>
          <w:highlight w:val="none"/>
        </w:rPr>
        <w:t xml:space="preserve">___年____月____日</w:t>
      </w:r>
      <w:r>
        <w:rPr>
          <w:rFonts w:hint="eastAsia" w:ascii="宋体" w:hAnsi="宋体" w:eastAsia="宋体" w:cs="宋体"/>
          <w:color w:val="auto"/>
          <w:sz w:val="24"/>
          <w:szCs w:val="24"/>
          <w:highlight w:val="none"/>
          <w:shd w:val="clear" w:color="auto" w:fill="ffffff"/>
        </w:rPr>
        <w:t xml:space="preserve">        </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__________________</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153"/>
        <w:ind w:firstLine="204"/>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w:t>
      </w:r>
      <w:r>
        <w:rPr>
          <w:rStyle w:val="1154"/>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”的地方无需填写。</w:t>
      </w:r>
      <w:r/>
    </w:p>
    <w:p>
      <w:pPr>
        <w:ind w:firstLine="340"/>
        <w:jc w:val="both"/>
        <w:keepLines w:val="0"/>
        <w:keepNext w:val="0"/>
        <w:pageBreakBefore w:val="0"/>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center"/>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center"/>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center"/>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center"/>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center"/>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center"/>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center"/>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r>
      <w:r/>
    </w:p>
    <w:p>
      <w:pPr>
        <w:jc w:val="center"/>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t xml:space="preserve">质疑函范本</w:t>
      </w:r>
      <w:r/>
    </w:p>
    <w:p>
      <w:pPr>
        <w:spacing w:line="50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 xml:space="preserve">致：</w:t>
      </w:r>
      <w:r/>
    </w:p>
    <w:p>
      <w:pPr>
        <w:spacing w:line="50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 xml:space="preserve">一、质疑供应商基本信息</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质疑供应商：</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地址：邮编：</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联系人：联系电话：</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授权代表：</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联系电话：</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地址：邮编：</w:t>
      </w:r>
      <w:r/>
    </w:p>
    <w:p>
      <w:pPr>
        <w:spacing w:line="50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 xml:space="preserve">二、质疑项目基本情况</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质疑项目的名称：</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质疑项目的编号：包号：</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采购人名称：</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采购文件获取日期：</w:t>
      </w:r>
      <w:r/>
    </w:p>
    <w:p>
      <w:pPr>
        <w:spacing w:line="50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 xml:space="preserve">三、质疑事项具体内容</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质疑事项1：</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事实依据：</w:t>
      </w:r>
      <w:r/>
    </w:p>
    <w:p>
      <w:pPr>
        <w:spacing w:line="500" w:lineRule="exact"/>
        <w:rPr>
          <w:rFonts w:ascii="宋体;SimSun" w:hAnsi="宋体;SimSun" w:eastAsia="宋体;SimSun" w:cs="宋体;SimSun"/>
          <w:color w:val="auto"/>
          <w:sz w:val="24"/>
          <w:szCs w:val="24"/>
          <w:highlight w:val="none"/>
          <w:u w:val="single"/>
        </w:rPr>
      </w:pPr>
      <w:r>
        <w:rPr>
          <w:rFonts w:ascii="宋体;SimSun" w:hAnsi="宋体;SimSun" w:eastAsia="宋体;SimSun" w:cs="宋体;SimSun"/>
          <w:color w:val="auto"/>
          <w:sz w:val="24"/>
          <w:szCs w:val="24"/>
          <w:highlight w:val="none"/>
          <w:u w:val="single"/>
        </w:rPr>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法律依据：</w:t>
      </w:r>
      <w:r/>
    </w:p>
    <w:p>
      <w:pPr>
        <w:spacing w:line="500" w:lineRule="exact"/>
        <w:rPr>
          <w:rFonts w:ascii="宋体;SimSun" w:hAnsi="宋体;SimSun" w:eastAsia="宋体;SimSun" w:cs="宋体;SimSun"/>
          <w:color w:val="auto"/>
          <w:sz w:val="24"/>
          <w:szCs w:val="24"/>
          <w:highlight w:val="none"/>
          <w:u w:val="single"/>
        </w:rPr>
      </w:pPr>
      <w:r>
        <w:rPr>
          <w:rFonts w:ascii="宋体;SimSun" w:hAnsi="宋体;SimSun" w:eastAsia="宋体;SimSun" w:cs="宋体;SimSun"/>
          <w:color w:val="auto"/>
          <w:sz w:val="24"/>
          <w:szCs w:val="24"/>
          <w:highlight w:val="none"/>
          <w:u w:val="single"/>
        </w:rPr>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质疑事项2</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w:t>
      </w:r>
      <w:r/>
    </w:p>
    <w:p>
      <w:pPr>
        <w:spacing w:line="50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 xml:space="preserve">四、与质疑事项相关的质疑请求</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请求：</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签字（签章）： 公章： </w:t>
      </w:r>
      <w:r/>
    </w:p>
    <w:p>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w:t>
      </w:r>
      <w:r/>
    </w:p>
    <w:p>
      <w:pPr>
        <w:spacing w:line="500" w:lineRule="exact"/>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r>
      <w:r/>
    </w:p>
    <w:p>
      <w:pPr>
        <w:spacing w:line="500" w:lineRule="exact"/>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r>
      <w:r/>
    </w:p>
    <w:p>
      <w:pPr>
        <w:spacing w:line="500" w:lineRule="exact"/>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t xml:space="preserve">质疑函制作说明：</w:t>
      </w:r>
      <w:r/>
    </w:p>
    <w:p>
      <w:pPr>
        <w:ind w:firstLine="480"/>
        <w:jc w:val="left"/>
        <w:spacing w:line="500" w:lineRule="exact"/>
        <w:widowControl/>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1.供应商提出质疑时，应提交质疑函和必要的证明材料。</w:t>
      </w:r>
      <w:r/>
    </w:p>
    <w:p>
      <w:pPr>
        <w:ind w:firstLine="480"/>
        <w:jc w:val="left"/>
        <w:spacing w:line="500" w:lineRule="exact"/>
        <w:widowControl/>
        <w:rPr>
          <w:color w:val="auto"/>
          <w:highlight w:val="none"/>
        </w:rPr>
      </w:pPr>
      <w:r>
        <w:rPr>
          <w:rFonts w:ascii="宋体;SimSun" w:hAnsi="宋体;SimSun" w:eastAsia="宋体;SimSun" w:cs="宋体;SimSu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5.质疑函的质疑请求应与质疑事项相关。</w:t>
      </w:r>
      <w:r/>
    </w:p>
    <w:p>
      <w:pPr>
        <w:ind w:firstLine="480"/>
        <w:jc w:val="left"/>
        <w:spacing w:line="500" w:lineRule="exact"/>
        <w:widowControl/>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具体要求详见第二章 投标人须知 八、询问与质疑。</w:t>
      </w:r>
      <w:r/>
    </w:p>
    <w:p>
      <w:pPr>
        <w:pStyle w:val="1111"/>
        <w:rPr>
          <w:rFonts w:cs="宋体;SimSun"/>
          <w:color w:val="auto"/>
          <w:sz w:val="24"/>
          <w:szCs w:val="24"/>
          <w:highlight w:val="none"/>
        </w:rPr>
      </w:pPr>
      <w:r>
        <w:rPr>
          <w:rFonts w:cs="宋体;SimSun"/>
          <w:color w:val="auto"/>
          <w:sz w:val="24"/>
          <w:szCs w:val="24"/>
          <w:highlight w:val="none"/>
        </w:rPr>
      </w:r>
      <w:r/>
    </w:p>
    <w:p>
      <w:pPr>
        <w:ind w:firstLine="480"/>
        <w:jc w:val="left"/>
        <w:spacing w:line="500" w:lineRule="exact"/>
        <w:widowControl/>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p>
      <w:pPr>
        <w:rPr>
          <w:rFonts w:ascii="宋体;SimSun" w:hAnsi="宋体;SimSun" w:eastAsia="宋体;SimSun" w:cs="宋体;SimSun"/>
          <w:color w:val="auto"/>
          <w:highlight w:val="none"/>
        </w:rPr>
      </w:pPr>
      <w:r>
        <w:rPr>
          <w:rFonts w:ascii="宋体;SimSun" w:hAnsi="宋体;SimSun" w:eastAsia="宋体;SimSun" w:cs="宋体;SimSun"/>
          <w:color w:val="auto"/>
          <w:highlight w:val="none"/>
        </w:rPr>
      </w:r>
      <w:r/>
    </w:p>
    <w:sectPr>
      <w:headerReference w:type="default" r:id="rId13"/>
      <w:footerReference w:type="default" r:id="rId23"/>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panose1 w:val="02010600030101010101"/>
  </w:font>
  <w:font w:name="仿宋">
    <w:panose1 w:val="02010609060101010101"/>
  </w:font>
  <w:font w:name="MS Mincho;ＭＳ 明朝">
    <w:panose1 w:val="020B0503020202020204"/>
  </w:font>
  <w:font w:name="Symbol">
    <w:panose1 w:val="05050102010706020507"/>
  </w:font>
  <w:font w:name="Wingdings">
    <w:panose1 w:val="05000000000000000000"/>
  </w:font>
  <w:font w:name="Times New Roman">
    <w:panose1 w:val="02020603050405020304"/>
  </w:font>
  <w:font w:name="仿宋_GB2312">
    <w:panose1 w:val="02010609060101010101"/>
  </w:font>
  <w:font w:name="金山简黑体;黑体">
    <w:panose1 w:val="020B0503020202020204"/>
  </w:font>
  <w:font w:name="Cambria">
    <w:panose1 w:val="02040503050406030204"/>
  </w:font>
  <w:font w:name="方正仿宋_GBK;微软雅黑">
    <w:panose1 w:val="020B0503020202020204"/>
  </w:font>
  <w:font w:name="Calibri">
    <w:panose1 w:val="020F0502020204030204"/>
  </w:font>
  <w:font w:name="Arial">
    <w:panose1 w:val="020B0604020202020204"/>
  </w:font>
  <w:font w:name="Lohit Devanagari">
    <w:panose1 w:val="020B0600000000000000"/>
  </w:font>
  <w:font w:name="Courier New">
    <w:panose1 w:val="02070309020205020404"/>
  </w:font>
  <w:font w:name="Cambria Math">
    <w:panose1 w:val="02040503050406030204"/>
  </w:font>
  <w:font w:name="方正魏碑_GBK">
    <w:panose1 w:val="020B0503020202020204"/>
  </w:font>
  <w:font w:name="Liberation Serif">
    <w:panose1 w:val="02020603050405020304"/>
  </w:font>
  <w:font w:name="宋体;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r/>
  </w:p>
  <w:p>
    <w:pPr>
      <w:pStyle w:val="11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r/>
  </w:p>
  <w:p>
    <w:pPr>
      <w:pStyle w:val="11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r/>
  </w:p>
  <w:p>
    <w:pPr>
      <w:pStyle w:val="111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r/>
  </w:p>
  <w:p>
    <w:pPr>
      <w:pStyle w:val="111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r/>
  </w:p>
  <w:p>
    <w:pPr>
      <w:pStyle w:val="111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fldChar w:fldCharType="begin"/>
    </w:r>
    <w:r>
      <w:instrText xml:space="preserve"> PAGE </w:instrText>
    </w:r>
    <w:r>
      <w:fldChar w:fldCharType="separate"/>
    </w:r>
    <w:r>
      <w:t xml:space="preserve">12</w:t>
    </w:r>
    <w:r>
      <w:fldChar w:fldCharType="end"/>
    </w:r>
    <w:r/>
  </w:p>
  <w:p>
    <w:pPr>
      <w:pStyle w:val="111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fldChar w:fldCharType="begin"/>
    </w:r>
    <w:r>
      <w:instrText xml:space="preserve"> PAGE </w:instrText>
    </w:r>
    <w:r>
      <w:fldChar w:fldCharType="separate"/>
    </w:r>
    <w:r>
      <w:t xml:space="preserve">15</w:t>
    </w:r>
    <w:r>
      <w:fldChar w:fldCharType="end"/>
    </w:r>
    <w:r/>
  </w:p>
  <w:p>
    <w:pPr>
      <w:pStyle w:val="111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fldChar w:fldCharType="begin"/>
    </w:r>
    <w:r>
      <w:instrText xml:space="preserve"> PAGE </w:instrText>
    </w:r>
    <w:r>
      <w:fldChar w:fldCharType="separate"/>
    </w:r>
    <w:r>
      <w:t xml:space="preserve">1</w:t>
    </w:r>
    <w:r>
      <w:fldChar w:fldCharType="end"/>
    </w:r>
    <w:r/>
  </w:p>
  <w:p>
    <w:pPr>
      <w:pStyle w:val="111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fldChar w:fldCharType="begin"/>
    </w:r>
    <w:r>
      <w:instrText xml:space="preserve"> PAGE </w:instrText>
    </w:r>
    <w:r>
      <w:fldChar w:fldCharType="separate"/>
    </w:r>
    <w:r>
      <w:t xml:space="preserve">1</w:t>
    </w:r>
    <w:r>
      <w:fldChar w:fldCharType="end"/>
    </w:r>
    <w:r/>
  </w:p>
  <w:p>
    <w:pPr>
      <w:pStyle w:val="111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fldChar w:fldCharType="begin"/>
    </w:r>
    <w:r>
      <w:instrText xml:space="preserve"> PAGE </w:instrText>
    </w:r>
    <w:r>
      <w:fldChar w:fldCharType="separate"/>
    </w:r>
    <w:r>
      <w:t xml:space="preserve">4</w:t>
    </w:r>
    <w:r>
      <w:fldChar w:fldCharType="end"/>
    </w:r>
    <w:r/>
  </w:p>
  <w:p>
    <w:pPr>
      <w:pStyle w:val="11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0" w:leader="none"/>
        </w:tabs>
      </w:pPr>
    </w:lvl>
    <w:lvl w:ilvl="1">
      <w:start w:val="1"/>
      <w:numFmt w:val="bullet"/>
      <w:isLgl w:val="false"/>
      <w:suff w:val="tab"/>
      <w:lvlText w:val="o"/>
      <w:lvlJc w:val="left"/>
      <w:pPr>
        <w:ind w:left="1440" w:hanging="360"/>
        <w:tabs>
          <w:tab w:val="left" w:pos="0" w:leader="none"/>
        </w:tabs>
      </w:pPr>
      <w:rPr>
        <w:rFonts w:hint="default" w:ascii="Courier New" w:hAnsi="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cs="Wingdings"/>
      </w:rPr>
    </w:lvl>
    <w:lvl w:ilvl="3">
      <w:start w:val="1"/>
      <w:numFmt w:val="bullet"/>
      <w:isLgl w:val="false"/>
      <w:suff w:val="tab"/>
      <w:lvlText w:val="·"/>
      <w:lvlJc w:val="left"/>
      <w:pPr>
        <w:ind w:left="2880" w:hanging="360"/>
        <w:tabs>
          <w:tab w:val="left" w:pos="0" w:leader="none"/>
        </w:tabs>
      </w:pPr>
      <w:rPr>
        <w:rFonts w:hint="default" w:ascii="Symbol" w:hAnsi="Symbol" w:cs="Symbol"/>
      </w:rPr>
    </w:lvl>
    <w:lvl w:ilvl="4">
      <w:start w:val="1"/>
      <w:numFmt w:val="bullet"/>
      <w:isLgl w:val="false"/>
      <w:suff w:val="tab"/>
      <w:lvlText w:val="o"/>
      <w:lvlJc w:val="left"/>
      <w:pPr>
        <w:ind w:left="3600" w:hanging="360"/>
        <w:tabs>
          <w:tab w:val="left" w:pos="0" w:leader="none"/>
        </w:tabs>
      </w:pPr>
      <w:rPr>
        <w:rFonts w:hint="default" w:ascii="Courier New" w:hAnsi="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cs="Wingdings"/>
      </w:rPr>
    </w:lvl>
    <w:lvl w:ilvl="6">
      <w:start w:val="1"/>
      <w:numFmt w:val="bullet"/>
      <w:isLgl w:val="false"/>
      <w:suff w:val="tab"/>
      <w:lvlText w:val="·"/>
      <w:lvlJc w:val="left"/>
      <w:pPr>
        <w:ind w:left="5040" w:hanging="360"/>
        <w:tabs>
          <w:tab w:val="left" w:pos="0" w:leader="none"/>
        </w:tabs>
      </w:pPr>
      <w:rPr>
        <w:rFonts w:hint="default" w:ascii="Symbol" w:hAnsi="Symbol" w:cs="Symbol"/>
      </w:rPr>
    </w:lvl>
    <w:lvl w:ilvl="7">
      <w:start w:val="1"/>
      <w:numFmt w:val="bullet"/>
      <w:isLgl w:val="false"/>
      <w:suff w:val="tab"/>
      <w:lvlText w:val="o"/>
      <w:lvlJc w:val="left"/>
      <w:pPr>
        <w:ind w:left="5760" w:hanging="360"/>
        <w:tabs>
          <w:tab w:val="left" w:pos="0" w:leader="none"/>
        </w:tabs>
      </w:pPr>
      <w:rPr>
        <w:rFonts w:hint="default" w:ascii="Courier New" w:hAnsi="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cs="Wingdings"/>
      </w:rPr>
    </w:lvl>
  </w:abstractNum>
  <w:abstractNum w:abstractNumId="1">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tabs>
          <w:tab w:val="left" w:pos="0" w:leader="none"/>
        </w:tabs>
      </w:pPr>
      <w:rPr>
        <w:rFonts w:hint="default" w:ascii="Courier New" w:hAnsi="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cs="Wingdings"/>
      </w:rPr>
    </w:lvl>
    <w:lvl w:ilvl="3">
      <w:start w:val="1"/>
      <w:numFmt w:val="bullet"/>
      <w:isLgl w:val="false"/>
      <w:suff w:val="tab"/>
      <w:lvlText w:val="·"/>
      <w:lvlJc w:val="left"/>
      <w:pPr>
        <w:ind w:left="2880" w:hanging="360"/>
        <w:tabs>
          <w:tab w:val="left" w:pos="0" w:leader="none"/>
        </w:tabs>
      </w:pPr>
      <w:rPr>
        <w:rFonts w:hint="default" w:ascii="Symbol" w:hAnsi="Symbol" w:cs="Symbol"/>
      </w:rPr>
    </w:lvl>
    <w:lvl w:ilvl="4">
      <w:start w:val="1"/>
      <w:numFmt w:val="bullet"/>
      <w:isLgl w:val="false"/>
      <w:suff w:val="tab"/>
      <w:lvlText w:val="o"/>
      <w:lvlJc w:val="left"/>
      <w:pPr>
        <w:ind w:left="3600" w:hanging="360"/>
        <w:tabs>
          <w:tab w:val="left" w:pos="0" w:leader="none"/>
        </w:tabs>
      </w:pPr>
      <w:rPr>
        <w:rFonts w:hint="default" w:ascii="Courier New" w:hAnsi="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cs="Wingdings"/>
      </w:rPr>
    </w:lvl>
    <w:lvl w:ilvl="6">
      <w:start w:val="1"/>
      <w:numFmt w:val="bullet"/>
      <w:isLgl w:val="false"/>
      <w:suff w:val="tab"/>
      <w:lvlText w:val="·"/>
      <w:lvlJc w:val="left"/>
      <w:pPr>
        <w:ind w:left="5040" w:hanging="360"/>
        <w:tabs>
          <w:tab w:val="left" w:pos="0" w:leader="none"/>
        </w:tabs>
      </w:pPr>
      <w:rPr>
        <w:rFonts w:hint="default" w:ascii="Symbol" w:hAnsi="Symbol" w:cs="Symbol"/>
      </w:rPr>
    </w:lvl>
    <w:lvl w:ilvl="7">
      <w:start w:val="1"/>
      <w:numFmt w:val="bullet"/>
      <w:isLgl w:val="false"/>
      <w:suff w:val="tab"/>
      <w:lvlText w:val="o"/>
      <w:lvlJc w:val="left"/>
      <w:pPr>
        <w:ind w:left="5760" w:hanging="360"/>
        <w:tabs>
          <w:tab w:val="left" w:pos="0" w:leader="none"/>
        </w:tabs>
      </w:pPr>
      <w:rPr>
        <w:rFonts w:hint="default" w:ascii="Courier New" w:hAnsi="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cs="Wingdings"/>
      </w:rPr>
    </w:lvl>
  </w:abstractNum>
  <w:abstractNum w:abstractNumId="2">
    <w:multiLevelType w:val="hybridMultilevel"/>
    <w:lvl w:ilvl="0">
      <w:start w:val="6"/>
      <w:numFmt w:val="decimal"/>
      <w:pStyle w:val="1128"/>
      <w:isLgl w:val="false"/>
      <w:suff w:val="space"/>
      <w:lvlText w:val="%1"/>
      <w:lvlJc w:val="left"/>
      <w:pPr>
        <w:ind w:left="0" w:firstLine="0"/>
        <w:tabs>
          <w:tab w:val="left" w:pos="0" w:leader="none"/>
        </w:tabs>
      </w:pPr>
    </w:lvl>
    <w:lvl w:ilvl="1">
      <w:start w:val="1"/>
      <w:numFmt w:val="decimal"/>
      <w:isLgl w:val="false"/>
      <w:suff w:val="space"/>
      <w:lvlText w:val="%1.%2"/>
      <w:lvlJc w:val="left"/>
      <w:pPr>
        <w:ind w:left="0" w:firstLine="0"/>
        <w:tabs>
          <w:tab w:val="left" w:pos="0" w:leader="none"/>
        </w:tabs>
      </w:pPr>
    </w:lvl>
    <w:lvl w:ilvl="2">
      <w:start w:val="1"/>
      <w:numFmt w:val="decimal"/>
      <w:isLgl w:val="false"/>
      <w:suff w:val="space"/>
      <w:lvlText w:val="%1.%2.%3"/>
      <w:lvlJc w:val="left"/>
      <w:pPr>
        <w:ind w:left="0" w:firstLine="0"/>
        <w:tabs>
          <w:tab w:val="left" w:pos="0" w:leader="none"/>
        </w:tabs>
      </w:pPr>
    </w:lvl>
    <w:lvl w:ilvl="3">
      <w:start w:val="1"/>
      <w:numFmt w:val="decimal"/>
      <w:isLgl w:val="false"/>
      <w:suff w:val="space"/>
      <w:lvlText w:val="%1.%2.%3.%4"/>
      <w:lvlJc w:val="left"/>
      <w:pPr>
        <w:ind w:left="0" w:firstLine="0"/>
        <w:tabs>
          <w:tab w:val="left" w:pos="0" w:leader="none"/>
        </w:tabs>
      </w:pPr>
    </w:lvl>
    <w:lvl w:ilvl="4">
      <w:start w:val="1"/>
      <w:numFmt w:val="decimal"/>
      <w:isLgl w:val="false"/>
      <w:suff w:val="space"/>
      <w:lvlText w:val="%1.%2.%3.%4.%5"/>
      <w:lvlJc w:val="left"/>
      <w:pPr>
        <w:ind w:left="0" w:firstLine="0"/>
        <w:tabs>
          <w:tab w:val="left" w:pos="0" w:leader="none"/>
        </w:tabs>
      </w:pPr>
    </w:lvl>
    <w:lvl w:ilvl="5">
      <w:start w:val="1"/>
      <w:numFmt w:val="decimal"/>
      <w:isLgl w:val="false"/>
      <w:suff w:val="tab"/>
      <w:lvlText w:val="表%1.%2-%6"/>
      <w:lvlJc w:val="center"/>
      <w:pPr>
        <w:ind w:left="0" w:firstLine="0"/>
        <w:tabs>
          <w:tab w:val="left" w:pos="720" w:leader="none"/>
        </w:tabs>
      </w:pPr>
    </w:lvl>
    <w:lvl w:ilvl="6">
      <w:start w:val="1"/>
      <w:numFmt w:val="decimal"/>
      <w:isLgl w:val="false"/>
      <w:suff w:val="tab"/>
      <w:lvlText w:val="图%1.%2-%7"/>
      <w:lvlJc w:val="center"/>
      <w:pPr>
        <w:ind w:left="0" w:firstLine="0"/>
        <w:tabs>
          <w:tab w:val="left" w:pos="72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abstractNum w:abstractNumId="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tabs>
          <w:tab w:val="left" w:pos="0" w:leader="none"/>
        </w:tabs>
      </w:pPr>
      <w:rPr>
        <w:rFonts w:hint="default" w:ascii="Courier New" w:hAnsi="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cs="Wingdings"/>
      </w:rPr>
    </w:lvl>
    <w:lvl w:ilvl="3">
      <w:start w:val="1"/>
      <w:numFmt w:val="bullet"/>
      <w:isLgl w:val="false"/>
      <w:suff w:val="tab"/>
      <w:lvlText w:val="·"/>
      <w:lvlJc w:val="left"/>
      <w:pPr>
        <w:ind w:left="2880" w:hanging="360"/>
        <w:tabs>
          <w:tab w:val="left" w:pos="0" w:leader="none"/>
        </w:tabs>
      </w:pPr>
      <w:rPr>
        <w:rFonts w:hint="default" w:ascii="Symbol" w:hAnsi="Symbol" w:cs="Symbol"/>
      </w:rPr>
    </w:lvl>
    <w:lvl w:ilvl="4">
      <w:start w:val="1"/>
      <w:numFmt w:val="bullet"/>
      <w:isLgl w:val="false"/>
      <w:suff w:val="tab"/>
      <w:lvlText w:val="o"/>
      <w:lvlJc w:val="left"/>
      <w:pPr>
        <w:ind w:left="3600" w:hanging="360"/>
        <w:tabs>
          <w:tab w:val="left" w:pos="0" w:leader="none"/>
        </w:tabs>
      </w:pPr>
      <w:rPr>
        <w:rFonts w:hint="default" w:ascii="Courier New" w:hAnsi="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cs="Wingdings"/>
      </w:rPr>
    </w:lvl>
    <w:lvl w:ilvl="6">
      <w:start w:val="1"/>
      <w:numFmt w:val="bullet"/>
      <w:isLgl w:val="false"/>
      <w:suff w:val="tab"/>
      <w:lvlText w:val="·"/>
      <w:lvlJc w:val="left"/>
      <w:pPr>
        <w:ind w:left="5040" w:hanging="360"/>
        <w:tabs>
          <w:tab w:val="left" w:pos="0" w:leader="none"/>
        </w:tabs>
      </w:pPr>
      <w:rPr>
        <w:rFonts w:hint="default" w:ascii="Symbol" w:hAnsi="Symbol" w:cs="Symbol"/>
      </w:rPr>
    </w:lvl>
    <w:lvl w:ilvl="7">
      <w:start w:val="1"/>
      <w:numFmt w:val="bullet"/>
      <w:isLgl w:val="false"/>
      <w:suff w:val="tab"/>
      <w:lvlText w:val="o"/>
      <w:lvlJc w:val="left"/>
      <w:pPr>
        <w:ind w:left="5760" w:hanging="360"/>
        <w:tabs>
          <w:tab w:val="left" w:pos="0" w:leader="none"/>
        </w:tabs>
      </w:pPr>
      <w:rPr>
        <w:rFonts w:hint="default" w:ascii="Courier New" w:hAnsi="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cs="Wingdings"/>
      </w:rPr>
    </w:lvl>
  </w:abstractNum>
  <w:abstractNum w:abstractNumId="4">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tabs>
          <w:tab w:val="left" w:pos="0" w:leader="none"/>
        </w:tabs>
      </w:pPr>
      <w:rPr>
        <w:rFonts w:hint="default" w:ascii="Courier New" w:hAnsi="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cs="Wingdings"/>
      </w:rPr>
    </w:lvl>
    <w:lvl w:ilvl="3">
      <w:start w:val="1"/>
      <w:numFmt w:val="bullet"/>
      <w:isLgl w:val="false"/>
      <w:suff w:val="tab"/>
      <w:lvlText w:val="·"/>
      <w:lvlJc w:val="left"/>
      <w:pPr>
        <w:ind w:left="2880" w:hanging="360"/>
        <w:tabs>
          <w:tab w:val="left" w:pos="0" w:leader="none"/>
        </w:tabs>
      </w:pPr>
      <w:rPr>
        <w:rFonts w:hint="default" w:ascii="Symbol" w:hAnsi="Symbol" w:cs="Symbol"/>
      </w:rPr>
    </w:lvl>
    <w:lvl w:ilvl="4">
      <w:start w:val="1"/>
      <w:numFmt w:val="bullet"/>
      <w:isLgl w:val="false"/>
      <w:suff w:val="tab"/>
      <w:lvlText w:val="o"/>
      <w:lvlJc w:val="left"/>
      <w:pPr>
        <w:ind w:left="3600" w:hanging="360"/>
        <w:tabs>
          <w:tab w:val="left" w:pos="0" w:leader="none"/>
        </w:tabs>
      </w:pPr>
      <w:rPr>
        <w:rFonts w:hint="default" w:ascii="Courier New" w:hAnsi="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cs="Wingdings"/>
      </w:rPr>
    </w:lvl>
    <w:lvl w:ilvl="6">
      <w:start w:val="1"/>
      <w:numFmt w:val="bullet"/>
      <w:isLgl w:val="false"/>
      <w:suff w:val="tab"/>
      <w:lvlText w:val="·"/>
      <w:lvlJc w:val="left"/>
      <w:pPr>
        <w:ind w:left="5040" w:hanging="360"/>
        <w:tabs>
          <w:tab w:val="left" w:pos="0" w:leader="none"/>
        </w:tabs>
      </w:pPr>
      <w:rPr>
        <w:rFonts w:hint="default" w:ascii="Symbol" w:hAnsi="Symbol" w:cs="Symbol"/>
      </w:rPr>
    </w:lvl>
    <w:lvl w:ilvl="7">
      <w:start w:val="1"/>
      <w:numFmt w:val="bullet"/>
      <w:isLgl w:val="false"/>
      <w:suff w:val="tab"/>
      <w:lvlText w:val="o"/>
      <w:lvlJc w:val="left"/>
      <w:pPr>
        <w:ind w:left="5760" w:hanging="360"/>
        <w:tabs>
          <w:tab w:val="left" w:pos="0" w:leader="none"/>
        </w:tabs>
      </w:pPr>
      <w:rPr>
        <w:rFonts w:hint="default" w:ascii="Courier New" w:hAnsi="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cs="Wingdings"/>
      </w:rPr>
    </w:lvl>
  </w:abstractNum>
  <w:abstractNum w:abstractNumId="5">
    <w:multiLevelType w:val="hybridMultilevel"/>
    <w:lvl w:ilvl="0">
      <w:start w:val="1"/>
      <w:numFmt w:val="none"/>
      <w:pStyle w:val="996"/>
      <w:isLgl w:val="false"/>
      <w:suff w:val="nothing"/>
      <w:lvlText w:val=""/>
      <w:lvlJc w:val="left"/>
      <w:pPr>
        <w:ind w:left="0" w:firstLine="0"/>
        <w:tabs>
          <w:tab w:val="left" w:pos="0" w:leader="none"/>
        </w:tabs>
      </w:pPr>
    </w:lvl>
    <w:lvl w:ilvl="1">
      <w:start w:val="1"/>
      <w:numFmt w:val="none"/>
      <w:pStyle w:val="997"/>
      <w:isLgl w:val="false"/>
      <w:suff w:val="nothing"/>
      <w:lvlText w:val=""/>
      <w:lvlJc w:val="left"/>
      <w:pPr>
        <w:ind w:left="0" w:firstLine="0"/>
        <w:tabs>
          <w:tab w:val="left" w:pos="0" w:leader="none"/>
        </w:tabs>
      </w:pPr>
    </w:lvl>
    <w:lvl w:ilvl="2">
      <w:start w:val="1"/>
      <w:numFmt w:val="none"/>
      <w:pStyle w:val="998"/>
      <w:isLgl w:val="false"/>
      <w:suff w:val="nothing"/>
      <w:lvlText w:val=""/>
      <w:lvlJc w:val="left"/>
      <w:pPr>
        <w:ind w:left="0" w:firstLine="0"/>
        <w:tabs>
          <w:tab w:val="left" w:pos="0" w:leader="none"/>
        </w:tabs>
      </w:pPr>
    </w:lvl>
    <w:lvl w:ilvl="3">
      <w:start w:val="1"/>
      <w:numFmt w:val="none"/>
      <w:pStyle w:val="999"/>
      <w:isLgl w:val="false"/>
      <w:suff w:val="nothing"/>
      <w:lvlText w:val=""/>
      <w:lvlJc w:val="left"/>
      <w:pPr>
        <w:ind w:left="0" w:firstLine="0"/>
        <w:tabs>
          <w:tab w:val="left" w:pos="0" w:leader="none"/>
        </w:tabs>
      </w:pPr>
    </w:lvl>
    <w:lvl w:ilvl="4">
      <w:start w:val="1"/>
      <w:numFmt w:val="none"/>
      <w:pStyle w:val="1000"/>
      <w:isLgl w:val="false"/>
      <w:suff w:val="nothing"/>
      <w:lvlText w:val=""/>
      <w:lvlJc w:val="left"/>
      <w:pPr>
        <w:ind w:left="0" w:firstLine="0"/>
        <w:tabs>
          <w:tab w:val="left" w:pos="0" w:leader="none"/>
        </w:tabs>
      </w:pPr>
    </w:lvl>
    <w:lvl w:ilvl="5">
      <w:start w:val="1"/>
      <w:numFmt w:val="none"/>
      <w:pStyle w:val="1001"/>
      <w:isLgl w:val="false"/>
      <w:suff w:val="nothing"/>
      <w:lvlText w:val=""/>
      <w:lvlJc w:val="left"/>
      <w:pPr>
        <w:ind w:left="0" w:firstLine="0"/>
        <w:tabs>
          <w:tab w:val="left" w:pos="0" w:leader="none"/>
        </w:tabs>
      </w:pPr>
    </w:lvl>
    <w:lvl w:ilvl="6">
      <w:start w:val="1"/>
      <w:numFmt w:val="none"/>
      <w:pStyle w:val="1002"/>
      <w:isLgl w:val="false"/>
      <w:suff w:val="nothing"/>
      <w:lvlText w:val=""/>
      <w:lvlJc w:val="left"/>
      <w:pPr>
        <w:ind w:left="0" w:firstLine="0"/>
        <w:tabs>
          <w:tab w:val="left" w:pos="0" w:leader="none"/>
        </w:tabs>
      </w:pPr>
    </w:lvl>
    <w:lvl w:ilvl="7">
      <w:start w:val="1"/>
      <w:numFmt w:val="none"/>
      <w:pStyle w:val="1003"/>
      <w:isLgl w:val="false"/>
      <w:suff w:val="nothing"/>
      <w:lvlText w:val=""/>
      <w:lvlJc w:val="left"/>
      <w:pPr>
        <w:ind w:left="0" w:firstLine="0"/>
        <w:tabs>
          <w:tab w:val="left" w:pos="0" w:leader="none"/>
        </w:tabs>
      </w:pPr>
    </w:lvl>
    <w:lvl w:ilvl="8">
      <w:start w:val="1"/>
      <w:numFmt w:val="none"/>
      <w:pStyle w:val="1004"/>
      <w:isLgl w:val="false"/>
      <w:suff w:val="nothing"/>
      <w:lvlText w:val=""/>
      <w:lvlJc w:val="left"/>
      <w:pPr>
        <w:ind w:left="0" w:firstLine="0"/>
        <w:tabs>
          <w:tab w:val="left" w:pos="0" w:leader="none"/>
        </w:tabs>
      </w:pPr>
    </w:lvl>
  </w:abstractNum>
  <w:abstractNum w:abstractNumId="6">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tabs>
          <w:tab w:val="left" w:pos="0" w:leader="none"/>
        </w:tabs>
      </w:pPr>
      <w:rPr>
        <w:rFonts w:hint="default" w:ascii="Courier New" w:hAnsi="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cs="Wingdings"/>
      </w:rPr>
    </w:lvl>
    <w:lvl w:ilvl="3">
      <w:start w:val="1"/>
      <w:numFmt w:val="bullet"/>
      <w:isLgl w:val="false"/>
      <w:suff w:val="tab"/>
      <w:lvlText w:val="·"/>
      <w:lvlJc w:val="left"/>
      <w:pPr>
        <w:ind w:left="2880" w:hanging="360"/>
        <w:tabs>
          <w:tab w:val="left" w:pos="0" w:leader="none"/>
        </w:tabs>
      </w:pPr>
      <w:rPr>
        <w:rFonts w:hint="default" w:ascii="Symbol" w:hAnsi="Symbol" w:cs="Symbol"/>
      </w:rPr>
    </w:lvl>
    <w:lvl w:ilvl="4">
      <w:start w:val="1"/>
      <w:numFmt w:val="bullet"/>
      <w:isLgl w:val="false"/>
      <w:suff w:val="tab"/>
      <w:lvlText w:val="o"/>
      <w:lvlJc w:val="left"/>
      <w:pPr>
        <w:ind w:left="3600" w:hanging="360"/>
        <w:tabs>
          <w:tab w:val="left" w:pos="0" w:leader="none"/>
        </w:tabs>
      </w:pPr>
      <w:rPr>
        <w:rFonts w:hint="default" w:ascii="Courier New" w:hAnsi="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cs="Wingdings"/>
      </w:rPr>
    </w:lvl>
    <w:lvl w:ilvl="6">
      <w:start w:val="1"/>
      <w:numFmt w:val="bullet"/>
      <w:isLgl w:val="false"/>
      <w:suff w:val="tab"/>
      <w:lvlText w:val="·"/>
      <w:lvlJc w:val="left"/>
      <w:pPr>
        <w:ind w:left="5040" w:hanging="360"/>
        <w:tabs>
          <w:tab w:val="left" w:pos="0" w:leader="none"/>
        </w:tabs>
      </w:pPr>
      <w:rPr>
        <w:rFonts w:hint="default" w:ascii="Symbol" w:hAnsi="Symbol" w:cs="Symbol"/>
      </w:rPr>
    </w:lvl>
    <w:lvl w:ilvl="7">
      <w:start w:val="1"/>
      <w:numFmt w:val="bullet"/>
      <w:isLgl w:val="false"/>
      <w:suff w:val="tab"/>
      <w:lvlText w:val="o"/>
      <w:lvlJc w:val="left"/>
      <w:pPr>
        <w:ind w:left="5760" w:hanging="360"/>
        <w:tabs>
          <w:tab w:val="left" w:pos="0" w:leader="none"/>
        </w:tabs>
      </w:pPr>
      <w:rPr>
        <w:rFonts w:hint="default" w:ascii="Courier New" w:hAnsi="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cs="Wingdings"/>
      </w:rPr>
    </w:lvl>
  </w:abstractNum>
  <w:num w:numId="1">
    <w:abstractNumId w:val="5"/>
  </w:num>
  <w:num w:numId="2">
    <w:abstractNumId w:val="2"/>
  </w:num>
  <w:num w:numId="3">
    <w:abstractNumId w:val="4"/>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Liberation Serif" w:hAnsi="Liberation Serif" w:cs="Lohit Devanagari"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name w:val="Title"/>
    <w:basedOn w:val="995"/>
    <w:next w:val="995"/>
    <w:link w:val="859"/>
    <w:uiPriority w:val="10"/>
    <w:qFormat/>
    <w:pPr>
      <w:contextualSpacing/>
      <w:spacing w:before="300" w:after="200"/>
    </w:pPr>
    <w:rPr>
      <w:sz w:val="48"/>
      <w:szCs w:val="48"/>
    </w:rPr>
  </w:style>
  <w:style w:type="character" w:styleId="859">
    <w:name w:val="Title Char"/>
    <w:basedOn w:val="1005"/>
    <w:link w:val="858"/>
    <w:uiPriority w:val="10"/>
    <w:rPr>
      <w:sz w:val="48"/>
      <w:szCs w:val="48"/>
    </w:rPr>
  </w:style>
  <w:style w:type="character" w:styleId="860">
    <w:name w:val="Subtitle Char"/>
    <w:basedOn w:val="1005"/>
    <w:link w:val="1024"/>
    <w:uiPriority w:val="11"/>
    <w:rPr>
      <w:sz w:val="24"/>
      <w:szCs w:val="24"/>
    </w:rPr>
  </w:style>
  <w:style w:type="character" w:styleId="861">
    <w:name w:val="Quote Char"/>
    <w:link w:val="1123"/>
    <w:uiPriority w:val="29"/>
    <w:rPr>
      <w:i/>
    </w:rPr>
  </w:style>
  <w:style w:type="character" w:styleId="862">
    <w:name w:val="Intense Quote Char"/>
    <w:link w:val="1124"/>
    <w:uiPriority w:val="30"/>
    <w:rPr>
      <w:i/>
    </w:rPr>
  </w:style>
  <w:style w:type="table" w:styleId="863">
    <w:name w:val="Table Grid"/>
    <w:basedOn w:val="100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00">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1">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2">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3">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04">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5">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5">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6">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7">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8">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39">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0">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2">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3">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4">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5">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46">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7">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56">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7">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8">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9">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60">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1">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63">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4">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5">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6">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67">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8">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0">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1">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2">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3">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4">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5">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7">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8">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9">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0">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81">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2">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Footnote Text Char"/>
    <w:link w:val="1026"/>
    <w:uiPriority w:val="99"/>
    <w:rPr>
      <w:sz w:val="18"/>
    </w:rPr>
  </w:style>
  <w:style w:type="character" w:styleId="990">
    <w:name w:val="footnote reference"/>
    <w:basedOn w:val="1005"/>
    <w:uiPriority w:val="99"/>
    <w:unhideWhenUsed/>
    <w:rPr>
      <w:vertAlign w:val="superscript"/>
    </w:rPr>
  </w:style>
  <w:style w:type="character" w:styleId="991">
    <w:name w:val="Endnote Text Char"/>
    <w:link w:val="1015"/>
    <w:uiPriority w:val="99"/>
    <w:rPr>
      <w:sz w:val="20"/>
    </w:rPr>
  </w:style>
  <w:style w:type="character" w:styleId="992">
    <w:name w:val="endnote reference"/>
    <w:basedOn w:val="1005"/>
    <w:uiPriority w:val="99"/>
    <w:semiHidden/>
    <w:unhideWhenUsed/>
    <w:rPr>
      <w:vertAlign w:val="superscript"/>
    </w:r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link w:val="1154"/>
    <w:uiPriority w:val="0"/>
    <w:qFormat/>
    <w:pPr>
      <w:jc w:val="both"/>
      <w:widowControl w:val="off"/>
    </w:pPr>
    <w:rPr>
      <w:rFonts w:ascii="Calibri" w:hAnsi="Calibri" w:eastAsia="Arial" w:cs="Arial"/>
      <w:sz w:val="21"/>
      <w:szCs w:val="22"/>
      <w:lang w:val="en-US" w:eastAsia="zh-CN" w:bidi="ar-SA"/>
    </w:rPr>
  </w:style>
  <w:style w:type="paragraph" w:styleId="996">
    <w:name w:val="Heading 1"/>
    <w:basedOn w:val="995"/>
    <w:next w:val="995"/>
    <w:uiPriority w:val="9"/>
    <w:qFormat/>
    <w:pPr>
      <w:numPr>
        <w:ilvl w:val="0"/>
        <w:numId w:val="1"/>
      </w:numPr>
      <w:keepLines/>
      <w:keepNext/>
      <w:spacing w:before="340" w:after="330" w:line="576" w:lineRule="auto"/>
      <w:outlineLvl w:val="0"/>
    </w:pPr>
    <w:rPr>
      <w:b/>
      <w:bCs/>
      <w:sz w:val="44"/>
      <w:szCs w:val="44"/>
    </w:rPr>
  </w:style>
  <w:style w:type="paragraph" w:styleId="997">
    <w:name w:val="Heading 2"/>
    <w:basedOn w:val="995"/>
    <w:next w:val="995"/>
    <w:uiPriority w:val="9"/>
    <w:unhideWhenUsed/>
    <w:qFormat/>
    <w:pPr>
      <w:numPr>
        <w:ilvl w:val="1"/>
        <w:numId w:val="1"/>
      </w:numPr>
      <w:keepLines/>
      <w:keepNext/>
      <w:spacing w:before="260" w:after="260" w:line="412" w:lineRule="auto"/>
      <w:outlineLvl w:val="1"/>
    </w:pPr>
    <w:rPr>
      <w:rFonts w:ascii="Cambria" w:hAnsi="Cambria"/>
      <w:b/>
      <w:bCs/>
      <w:sz w:val="32"/>
      <w:szCs w:val="32"/>
    </w:rPr>
  </w:style>
  <w:style w:type="paragraph" w:styleId="998">
    <w:name w:val="Heading 3"/>
    <w:basedOn w:val="995"/>
    <w:next w:val="995"/>
    <w:uiPriority w:val="9"/>
    <w:semiHidden/>
    <w:unhideWhenUsed/>
    <w:qFormat/>
    <w:pPr>
      <w:numPr>
        <w:ilvl w:val="2"/>
        <w:numId w:val="1"/>
      </w:numPr>
      <w:keepLines/>
      <w:keepNext/>
      <w:spacing w:before="260" w:after="260" w:line="412" w:lineRule="auto"/>
      <w:outlineLvl w:val="2"/>
    </w:pPr>
    <w:rPr>
      <w:b/>
      <w:bCs/>
      <w:sz w:val="32"/>
      <w:szCs w:val="32"/>
    </w:rPr>
  </w:style>
  <w:style w:type="paragraph" w:styleId="999">
    <w:name w:val="Heading 4"/>
    <w:basedOn w:val="995"/>
    <w:next w:val="995"/>
    <w:uiPriority w:val="9"/>
    <w:semiHidden/>
    <w:unhideWhenUsed/>
    <w:qFormat/>
    <w:pPr>
      <w:numPr>
        <w:ilvl w:val="3"/>
        <w:numId w:val="1"/>
      </w:numPr>
      <w:keepLines/>
      <w:keepNext/>
      <w:spacing w:before="320" w:after="200"/>
      <w:outlineLvl w:val="3"/>
    </w:pPr>
    <w:rPr>
      <w:rFonts w:ascii="Arial" w:hAnsi="Arial"/>
      <w:b/>
      <w:bCs/>
      <w:sz w:val="26"/>
      <w:szCs w:val="26"/>
    </w:rPr>
  </w:style>
  <w:style w:type="paragraph" w:styleId="1000">
    <w:name w:val="Heading 5"/>
    <w:basedOn w:val="995"/>
    <w:next w:val="995"/>
    <w:uiPriority w:val="9"/>
    <w:semiHidden/>
    <w:unhideWhenUsed/>
    <w:qFormat/>
    <w:pPr>
      <w:numPr>
        <w:ilvl w:val="4"/>
        <w:numId w:val="1"/>
      </w:numPr>
      <w:keepLines/>
      <w:keepNext/>
      <w:spacing w:before="320" w:after="200"/>
      <w:outlineLvl w:val="4"/>
    </w:pPr>
    <w:rPr>
      <w:rFonts w:ascii="Arial" w:hAnsi="Arial"/>
      <w:b/>
      <w:bCs/>
      <w:sz w:val="24"/>
      <w:szCs w:val="24"/>
    </w:rPr>
  </w:style>
  <w:style w:type="paragraph" w:styleId="1001">
    <w:name w:val="Heading 6"/>
    <w:basedOn w:val="995"/>
    <w:next w:val="995"/>
    <w:uiPriority w:val="9"/>
    <w:semiHidden/>
    <w:unhideWhenUsed/>
    <w:qFormat/>
    <w:pPr>
      <w:numPr>
        <w:ilvl w:val="5"/>
        <w:numId w:val="1"/>
      </w:numPr>
      <w:keepLines/>
      <w:keepNext/>
      <w:spacing w:before="320" w:after="200"/>
      <w:outlineLvl w:val="5"/>
    </w:pPr>
    <w:rPr>
      <w:rFonts w:ascii="Arial" w:hAnsi="Arial"/>
      <w:b/>
      <w:bCs/>
      <w:sz w:val="22"/>
    </w:rPr>
  </w:style>
  <w:style w:type="paragraph" w:styleId="1002">
    <w:name w:val="Heading 7"/>
    <w:basedOn w:val="995"/>
    <w:next w:val="995"/>
    <w:uiPriority w:val="0"/>
    <w:qFormat/>
    <w:pPr>
      <w:numPr>
        <w:ilvl w:val="6"/>
        <w:numId w:val="1"/>
      </w:numPr>
      <w:keepLines/>
      <w:keepNext/>
      <w:spacing w:before="320" w:after="200"/>
      <w:outlineLvl w:val="6"/>
    </w:pPr>
    <w:rPr>
      <w:rFonts w:ascii="Arial" w:hAnsi="Arial"/>
      <w:b/>
      <w:bCs/>
      <w:i/>
      <w:iCs/>
      <w:sz w:val="22"/>
    </w:rPr>
  </w:style>
  <w:style w:type="paragraph" w:styleId="1003">
    <w:name w:val="Heading 8"/>
    <w:basedOn w:val="995"/>
    <w:next w:val="995"/>
    <w:uiPriority w:val="0"/>
    <w:qFormat/>
    <w:pPr>
      <w:numPr>
        <w:ilvl w:val="7"/>
        <w:numId w:val="1"/>
      </w:numPr>
      <w:keepLines/>
      <w:keepNext/>
      <w:spacing w:before="320" w:after="200"/>
      <w:outlineLvl w:val="7"/>
    </w:pPr>
    <w:rPr>
      <w:rFonts w:ascii="Arial" w:hAnsi="Arial"/>
      <w:i/>
      <w:iCs/>
      <w:sz w:val="22"/>
    </w:rPr>
  </w:style>
  <w:style w:type="paragraph" w:styleId="1004">
    <w:name w:val="Heading 9"/>
    <w:basedOn w:val="995"/>
    <w:next w:val="995"/>
    <w:uiPriority w:val="0"/>
    <w:qFormat/>
    <w:pPr>
      <w:numPr>
        <w:ilvl w:val="8"/>
        <w:numId w:val="1"/>
      </w:numPr>
      <w:keepLines/>
      <w:keepNext/>
      <w:spacing w:before="320" w:after="200"/>
      <w:outlineLvl w:val="8"/>
    </w:pPr>
    <w:rPr>
      <w:rFonts w:ascii="Arial" w:hAnsi="Arial"/>
      <w:i/>
      <w:iCs/>
      <w:szCs w:val="21"/>
    </w:rPr>
  </w:style>
  <w:style w:type="character" w:styleId="1005" w:default="1">
    <w:name w:val="Default Paragraph Font"/>
    <w:uiPriority w:val="1"/>
    <w:semiHidden/>
    <w:unhideWhenUsed/>
    <w:qFormat/>
  </w:style>
  <w:style w:type="table" w:styleId="1006" w:default="1">
    <w:name w:val="Normal Table"/>
    <w:uiPriority w:val="99"/>
    <w:semiHidden/>
    <w:unhideWhenUsed/>
    <w:qFormat/>
    <w:tblPr>
      <w:tblCellMar>
        <w:left w:w="108" w:type="dxa"/>
        <w:top w:w="0" w:type="dxa"/>
        <w:right w:w="108" w:type="dxa"/>
        <w:bottom w:w="0" w:type="dxa"/>
      </w:tblCellMar>
    </w:tblPr>
  </w:style>
  <w:style w:type="paragraph" w:styleId="1007">
    <w:name w:val="toc 7"/>
    <w:basedOn w:val="995"/>
    <w:next w:val="995"/>
    <w:uiPriority w:val="0"/>
    <w:qFormat/>
    <w:pPr>
      <w:ind w:left="1701"/>
      <w:spacing w:after="57"/>
    </w:pPr>
  </w:style>
  <w:style w:type="paragraph" w:styleId="1008">
    <w:name w:val="Caption"/>
    <w:basedOn w:val="995"/>
    <w:next w:val="995"/>
    <w:uiPriority w:val="0"/>
    <w:qFormat/>
    <w:pPr>
      <w:spacing w:line="276" w:lineRule="auto"/>
    </w:pPr>
    <w:rPr>
      <w:b/>
      <w:bCs/>
      <w:color w:val="4f81bd"/>
      <w:sz w:val="18"/>
      <w:szCs w:val="18"/>
    </w:rPr>
  </w:style>
  <w:style w:type="paragraph" w:styleId="1009">
    <w:name w:val="toa heading"/>
    <w:uiPriority w:val="0"/>
    <w:qFormat/>
    <w:rPr>
      <w:rFonts w:ascii="Calibri" w:hAnsi="Calibri" w:eastAsia="Arial" w:cs="Arial"/>
      <w:sz w:val="20"/>
      <w:szCs w:val="20"/>
      <w:lang w:val="en-US" w:eastAsia="zh-CN" w:bidi="ar-SA"/>
    </w:rPr>
  </w:style>
  <w:style w:type="paragraph" w:styleId="1010">
    <w:name w:val="Body Text"/>
    <w:basedOn w:val="995"/>
    <w:next w:val="995"/>
    <w:uiPriority w:val="0"/>
    <w:qFormat/>
    <w:rPr>
      <w:rFonts w:ascii="金山简黑体;黑体" w:hAnsi="金山简黑体;黑体" w:eastAsia="金山简黑体;黑体" w:cs="Courier New"/>
      <w:b/>
      <w:spacing w:val="-8"/>
      <w:sz w:val="44"/>
      <w:szCs w:val="20"/>
    </w:rPr>
  </w:style>
  <w:style w:type="paragraph" w:styleId="1011">
    <w:name w:val="Body Text Indent"/>
    <w:basedOn w:val="995"/>
    <w:next w:val="995"/>
    <w:uiPriority w:val="0"/>
    <w:qFormat/>
    <w:pPr>
      <w:ind w:firstLine="600"/>
    </w:pPr>
    <w:rPr>
      <w:rFonts w:eastAsia="仿宋_GB2312"/>
      <w:sz w:val="30"/>
      <w:szCs w:val="30"/>
    </w:rPr>
  </w:style>
  <w:style w:type="paragraph" w:styleId="1012">
    <w:name w:val="toc 5"/>
    <w:basedOn w:val="995"/>
    <w:next w:val="995"/>
    <w:uiPriority w:val="0"/>
    <w:qFormat/>
    <w:pPr>
      <w:ind w:left="1134"/>
      <w:spacing w:after="57"/>
    </w:pPr>
  </w:style>
  <w:style w:type="paragraph" w:styleId="1013">
    <w:name w:val="toc 3"/>
    <w:basedOn w:val="995"/>
    <w:next w:val="995"/>
    <w:uiPriority w:val="0"/>
    <w:qFormat/>
    <w:pPr>
      <w:ind w:left="567"/>
      <w:spacing w:after="57"/>
    </w:pPr>
  </w:style>
  <w:style w:type="paragraph" w:styleId="1014">
    <w:name w:val="toc 8"/>
    <w:basedOn w:val="995"/>
    <w:next w:val="995"/>
    <w:uiPriority w:val="0"/>
    <w:qFormat/>
    <w:pPr>
      <w:ind w:left="1984"/>
      <w:spacing w:after="57"/>
    </w:pPr>
  </w:style>
  <w:style w:type="paragraph" w:styleId="1015">
    <w:name w:val="endnote text"/>
    <w:basedOn w:val="995"/>
    <w:uiPriority w:val="0"/>
    <w:qFormat/>
    <w:rPr>
      <w:sz w:val="20"/>
    </w:rPr>
  </w:style>
  <w:style w:type="paragraph" w:styleId="1016">
    <w:name w:val="Balloon Text"/>
    <w:basedOn w:val="995"/>
    <w:uiPriority w:val="0"/>
    <w:qFormat/>
    <w:rPr>
      <w:sz w:val="18"/>
      <w:szCs w:val="18"/>
    </w:rPr>
  </w:style>
  <w:style w:type="paragraph" w:styleId="1017">
    <w:name w:val="Footer"/>
    <w:basedOn w:val="995"/>
    <w:uiPriority w:val="0"/>
    <w:qFormat/>
    <w:pPr>
      <w:jc w:val="left"/>
      <w:tabs>
        <w:tab w:val="center" w:pos="4153" w:leader="none"/>
        <w:tab w:val="right" w:pos="8306" w:leader="none"/>
      </w:tabs>
    </w:pPr>
    <w:rPr>
      <w:sz w:val="18"/>
      <w:szCs w:val="18"/>
    </w:rPr>
  </w:style>
  <w:style w:type="paragraph" w:styleId="1018">
    <w:name w:val="envelope return"/>
    <w:basedOn w:val="995"/>
    <w:uiPriority w:val="0"/>
    <w:qFormat/>
    <w:rPr>
      <w:rFonts w:ascii="Arial" w:hAnsi="Arial"/>
    </w:rPr>
  </w:style>
  <w:style w:type="paragraph" w:styleId="1019">
    <w:name w:val="Header"/>
    <w:basedOn w:val="995"/>
    <w:uiPriority w:val="0"/>
    <w:qFormat/>
    <w:pPr>
      <w:jc w:val="center"/>
      <w:tabs>
        <w:tab w:val="center" w:pos="4153" w:leader="none"/>
        <w:tab w:val="right" w:pos="8306" w:leader="none"/>
      </w:tabs>
    </w:pPr>
    <w:rPr>
      <w:sz w:val="18"/>
      <w:szCs w:val="18"/>
    </w:rPr>
  </w:style>
  <w:style w:type="paragraph" w:styleId="1020">
    <w:name w:val="toc 1"/>
    <w:basedOn w:val="995"/>
    <w:next w:val="995"/>
    <w:uiPriority w:val="0"/>
    <w:qFormat/>
    <w:pPr>
      <w:jc w:val="center"/>
      <w:spacing w:line="360" w:lineRule="auto"/>
      <w:tabs>
        <w:tab w:val="right" w:pos="9628" w:leader="dot"/>
      </w:tabs>
    </w:pPr>
    <w:rPr>
      <w:sz w:val="32"/>
    </w:rPr>
  </w:style>
  <w:style w:type="paragraph" w:styleId="1021">
    <w:name w:val="toc 4"/>
    <w:basedOn w:val="995"/>
    <w:next w:val="995"/>
    <w:uiPriority w:val="0"/>
    <w:qFormat/>
    <w:pPr>
      <w:ind w:left="850"/>
      <w:spacing w:after="57"/>
    </w:pPr>
  </w:style>
  <w:style w:type="paragraph" w:styleId="1022">
    <w:name w:val="index heading"/>
    <w:basedOn w:val="1023"/>
    <w:uiPriority w:val="0"/>
    <w:qFormat/>
  </w:style>
  <w:style w:type="paragraph" w:styleId="1023" w:customStyle="1">
    <w:name w:val="Heading"/>
    <w:basedOn w:val="995"/>
    <w:next w:val="995"/>
    <w:uiPriority w:val="0"/>
    <w:qFormat/>
    <w:pPr>
      <w:contextualSpacing/>
      <w:spacing w:before="300" w:after="200"/>
    </w:pPr>
    <w:rPr>
      <w:sz w:val="48"/>
      <w:szCs w:val="48"/>
    </w:rPr>
  </w:style>
  <w:style w:type="paragraph" w:styleId="1024">
    <w:name w:val="Subtitle"/>
    <w:basedOn w:val="995"/>
    <w:next w:val="995"/>
    <w:uiPriority w:val="11"/>
    <w:qFormat/>
    <w:pPr>
      <w:spacing w:before="200" w:after="200"/>
    </w:pPr>
    <w:rPr>
      <w:sz w:val="24"/>
      <w:szCs w:val="24"/>
    </w:rPr>
  </w:style>
  <w:style w:type="paragraph" w:styleId="1025">
    <w:name w:val="List"/>
    <w:basedOn w:val="1010"/>
    <w:uiPriority w:val="0"/>
    <w:qFormat/>
    <w:rPr>
      <w:rFonts w:cs="Lohit Devanagari"/>
    </w:rPr>
  </w:style>
  <w:style w:type="paragraph" w:styleId="1026">
    <w:name w:val="footnote text"/>
    <w:basedOn w:val="995"/>
    <w:uiPriority w:val="0"/>
    <w:qFormat/>
    <w:pPr>
      <w:spacing w:after="40"/>
    </w:pPr>
    <w:rPr>
      <w:sz w:val="18"/>
    </w:rPr>
  </w:style>
  <w:style w:type="paragraph" w:styleId="1027">
    <w:name w:val="toc 6"/>
    <w:basedOn w:val="995"/>
    <w:next w:val="995"/>
    <w:uiPriority w:val="0"/>
    <w:qFormat/>
    <w:pPr>
      <w:ind w:left="1417"/>
      <w:spacing w:after="57"/>
    </w:pPr>
  </w:style>
  <w:style w:type="paragraph" w:styleId="1028">
    <w:name w:val="toc 2"/>
    <w:basedOn w:val="995"/>
    <w:next w:val="995"/>
    <w:uiPriority w:val="0"/>
    <w:qFormat/>
    <w:pPr>
      <w:ind w:left="283"/>
      <w:spacing w:after="57"/>
    </w:pPr>
  </w:style>
  <w:style w:type="paragraph" w:styleId="1029">
    <w:name w:val="toc 9"/>
    <w:basedOn w:val="995"/>
    <w:next w:val="995"/>
    <w:uiPriority w:val="0"/>
    <w:qFormat/>
    <w:pPr>
      <w:ind w:left="2268"/>
      <w:spacing w:after="57"/>
    </w:pPr>
  </w:style>
  <w:style w:type="paragraph" w:styleId="1030">
    <w:name w:val="Normal (Web)"/>
    <w:basedOn w:val="995"/>
    <w:uiPriority w:val="0"/>
    <w:qFormat/>
    <w:pPr>
      <w:jc w:val="left"/>
      <w:spacing w:before="100" w:after="100"/>
      <w:widowControl/>
    </w:pPr>
    <w:rPr>
      <w:rFonts w:ascii="宋体;SimSun" w:hAnsi="宋体;SimSun" w:eastAsia="宋体;SimSun" w:cs="宋体;SimSun"/>
      <w:sz w:val="24"/>
      <w:szCs w:val="24"/>
    </w:rPr>
  </w:style>
  <w:style w:type="paragraph" w:styleId="1031">
    <w:name w:val="annotation subject"/>
    <w:basedOn w:val="1032"/>
    <w:next w:val="1032"/>
    <w:uiPriority w:val="0"/>
    <w:qFormat/>
    <w:pPr>
      <w:ind w:firstLine="0"/>
      <w:spacing w:line="240" w:lineRule="auto"/>
    </w:pPr>
    <w:rPr>
      <w:rFonts w:ascii="Calibri" w:hAnsi="Calibri" w:eastAsia="Arial" w:cs="Arial"/>
      <w:b/>
      <w:bCs/>
      <w:szCs w:val="22"/>
    </w:rPr>
  </w:style>
  <w:style w:type="paragraph" w:styleId="1032" w:customStyle="1">
    <w:name w:val="批注文字1"/>
    <w:basedOn w:val="995"/>
    <w:uiPriority w:val="0"/>
    <w:qFormat/>
    <w:pPr>
      <w:ind w:firstLine="922"/>
      <w:jc w:val="left"/>
      <w:spacing w:line="360" w:lineRule="auto"/>
    </w:pPr>
    <w:rPr>
      <w:rFonts w:ascii="Times New Roman" w:hAnsi="Times New Roman" w:eastAsia="宋体;SimSun" w:cs="Times New Roman"/>
      <w:szCs w:val="24"/>
    </w:rPr>
  </w:style>
  <w:style w:type="character" w:styleId="1033">
    <w:name w:val="FollowedHyperlink"/>
    <w:uiPriority w:val="0"/>
    <w:qFormat/>
    <w:rPr>
      <w:color w:val="800080"/>
      <w:u w:val="single"/>
    </w:rPr>
  </w:style>
  <w:style w:type="character" w:styleId="1034">
    <w:name w:val="Emphasis"/>
    <w:uiPriority w:val="0"/>
    <w:qFormat/>
    <w:rPr>
      <w:i/>
    </w:rPr>
  </w:style>
  <w:style w:type="character" w:styleId="1035">
    <w:name w:val="Hyperlink"/>
    <w:uiPriority w:val="0"/>
    <w:qFormat/>
    <w:rPr>
      <w:color w:val="0000ff"/>
      <w:u w:val="none"/>
    </w:rPr>
  </w:style>
  <w:style w:type="character" w:styleId="1036" w:customStyle="1">
    <w:name w:val="WW8Num2z1"/>
    <w:uiPriority w:val="0"/>
    <w:qFormat/>
    <w:rPr>
      <w:rFonts w:ascii="Courier New" w:hAnsi="Courier New" w:cs="Courier New"/>
    </w:rPr>
  </w:style>
  <w:style w:type="character" w:styleId="1037" w:customStyle="1">
    <w:name w:val="WW8Num2z2"/>
    <w:uiPriority w:val="0"/>
    <w:qFormat/>
    <w:rPr>
      <w:rFonts w:ascii="Wingdings" w:hAnsi="Wingdings" w:cs="Wingdings"/>
    </w:rPr>
  </w:style>
  <w:style w:type="character" w:styleId="1038" w:customStyle="1">
    <w:name w:val="WW8Num2z3"/>
    <w:uiPriority w:val="0"/>
    <w:qFormat/>
    <w:rPr>
      <w:rFonts w:ascii="Symbol" w:hAnsi="Symbol" w:cs="Symbol"/>
    </w:rPr>
  </w:style>
  <w:style w:type="character" w:styleId="1039" w:customStyle="1">
    <w:name w:val="WW8Num3z1"/>
    <w:uiPriority w:val="0"/>
    <w:qFormat/>
    <w:rPr>
      <w:rFonts w:ascii="Courier New" w:hAnsi="Courier New" w:cs="Courier New"/>
    </w:rPr>
  </w:style>
  <w:style w:type="character" w:styleId="1040" w:customStyle="1">
    <w:name w:val="WW8Num3z2"/>
    <w:uiPriority w:val="0"/>
    <w:qFormat/>
    <w:rPr>
      <w:rFonts w:ascii="Wingdings" w:hAnsi="Wingdings" w:cs="Wingdings"/>
    </w:rPr>
  </w:style>
  <w:style w:type="character" w:styleId="1041" w:customStyle="1">
    <w:name w:val="WW8Num3z3"/>
    <w:uiPriority w:val="0"/>
    <w:qFormat/>
    <w:rPr>
      <w:rFonts w:ascii="Symbol" w:hAnsi="Symbol" w:cs="Symbol"/>
    </w:rPr>
  </w:style>
  <w:style w:type="character" w:styleId="1042" w:customStyle="1">
    <w:name w:val="WW8Num5z1"/>
    <w:uiPriority w:val="0"/>
    <w:qFormat/>
    <w:rPr>
      <w:rFonts w:ascii="Courier New" w:hAnsi="Courier New" w:cs="Courier New"/>
    </w:rPr>
  </w:style>
  <w:style w:type="character" w:styleId="1043" w:customStyle="1">
    <w:name w:val="WW8Num5z2"/>
    <w:uiPriority w:val="0"/>
    <w:qFormat/>
    <w:rPr>
      <w:rFonts w:ascii="Wingdings" w:hAnsi="Wingdings" w:cs="Wingdings"/>
    </w:rPr>
  </w:style>
  <w:style w:type="character" w:styleId="1044" w:customStyle="1">
    <w:name w:val="WW8Num5z3"/>
    <w:uiPriority w:val="0"/>
    <w:qFormat/>
    <w:rPr>
      <w:rFonts w:ascii="Symbol" w:hAnsi="Symbol" w:cs="Symbol"/>
    </w:rPr>
  </w:style>
  <w:style w:type="character" w:styleId="1045" w:customStyle="1">
    <w:name w:val="WW8Num6z1"/>
    <w:uiPriority w:val="0"/>
    <w:qFormat/>
    <w:rPr>
      <w:rFonts w:ascii="Courier New" w:hAnsi="Courier New" w:cs="Courier New"/>
    </w:rPr>
  </w:style>
  <w:style w:type="character" w:styleId="1046" w:customStyle="1">
    <w:name w:val="WW8Num6z2"/>
    <w:uiPriority w:val="0"/>
    <w:qFormat/>
    <w:rPr>
      <w:rFonts w:ascii="Wingdings" w:hAnsi="Wingdings" w:cs="Wingdings"/>
    </w:rPr>
  </w:style>
  <w:style w:type="character" w:styleId="1047" w:customStyle="1">
    <w:name w:val="WW8Num6z3"/>
    <w:uiPriority w:val="0"/>
    <w:qFormat/>
    <w:rPr>
      <w:rFonts w:ascii="Symbol" w:hAnsi="Symbol" w:cs="Symbol"/>
    </w:rPr>
  </w:style>
  <w:style w:type="character" w:styleId="1048" w:customStyle="1">
    <w:name w:val="WW8Num7z1"/>
    <w:uiPriority w:val="0"/>
    <w:qFormat/>
    <w:rPr>
      <w:rFonts w:ascii="Courier New" w:hAnsi="Courier New" w:cs="Courier New"/>
    </w:rPr>
  </w:style>
  <w:style w:type="character" w:styleId="1049" w:customStyle="1">
    <w:name w:val="WW8Num7z2"/>
    <w:uiPriority w:val="0"/>
    <w:qFormat/>
    <w:rPr>
      <w:rFonts w:ascii="Wingdings" w:hAnsi="Wingdings" w:cs="Wingdings"/>
    </w:rPr>
  </w:style>
  <w:style w:type="character" w:styleId="1050" w:customStyle="1">
    <w:name w:val="WW8Num7z3"/>
    <w:uiPriority w:val="0"/>
    <w:qFormat/>
    <w:rPr>
      <w:rFonts w:ascii="Symbol" w:hAnsi="Symbol" w:cs="Symbol"/>
    </w:rPr>
  </w:style>
  <w:style w:type="character" w:styleId="1051" w:customStyle="1">
    <w:name w:val="WW8Num1z0"/>
    <w:uiPriority w:val="0"/>
    <w:qFormat/>
  </w:style>
  <w:style w:type="character" w:styleId="1052" w:customStyle="1">
    <w:name w:val="WW8Num1z1"/>
    <w:uiPriority w:val="0"/>
    <w:qFormat/>
    <w:rPr>
      <w:rFonts w:ascii="Courier New" w:hAnsi="Courier New" w:eastAsia="Courier New" w:cs="Courier New"/>
    </w:rPr>
  </w:style>
  <w:style w:type="character" w:styleId="1053" w:customStyle="1">
    <w:name w:val="WW8Num1z2"/>
    <w:uiPriority w:val="0"/>
    <w:qFormat/>
    <w:rPr>
      <w:rFonts w:ascii="Wingdings" w:hAnsi="Wingdings" w:eastAsia="Wingdings" w:cs="Wingdings"/>
    </w:rPr>
  </w:style>
  <w:style w:type="character" w:styleId="1054" w:customStyle="1">
    <w:name w:val="WW8Num1z3"/>
    <w:uiPriority w:val="0"/>
    <w:qFormat/>
    <w:rPr>
      <w:rFonts w:ascii="Symbol" w:hAnsi="Symbol" w:eastAsia="Symbol" w:cs="Symbol"/>
    </w:rPr>
  </w:style>
  <w:style w:type="character" w:styleId="1055" w:customStyle="1">
    <w:name w:val="WW8Num3z0"/>
    <w:uiPriority w:val="0"/>
    <w:qFormat/>
  </w:style>
  <w:style w:type="character" w:styleId="1056" w:customStyle="1">
    <w:name w:val="WW8Num4z1"/>
    <w:uiPriority w:val="0"/>
    <w:qFormat/>
    <w:rPr>
      <w:rFonts w:ascii="Courier New" w:hAnsi="Courier New" w:eastAsia="Courier New" w:cs="Courier New"/>
    </w:rPr>
  </w:style>
  <w:style w:type="character" w:styleId="1057" w:customStyle="1">
    <w:name w:val="WW8Num4z2"/>
    <w:uiPriority w:val="0"/>
    <w:qFormat/>
    <w:rPr>
      <w:rFonts w:ascii="Wingdings" w:hAnsi="Wingdings" w:eastAsia="Wingdings" w:cs="Wingdings"/>
    </w:rPr>
  </w:style>
  <w:style w:type="character" w:styleId="1058" w:customStyle="1">
    <w:name w:val="WW8Num4z3"/>
    <w:uiPriority w:val="0"/>
    <w:qFormat/>
    <w:rPr>
      <w:rFonts w:ascii="Symbol" w:hAnsi="Symbol" w:eastAsia="Symbol" w:cs="Symbol"/>
    </w:rPr>
  </w:style>
  <w:style w:type="character" w:styleId="1059" w:customStyle="1">
    <w:name w:val="默认段落字体1"/>
    <w:uiPriority w:val="0"/>
    <w:qFormat/>
  </w:style>
  <w:style w:type="character" w:styleId="1060" w:customStyle="1">
    <w:name w:val="文档结构图 字符"/>
    <w:uiPriority w:val="0"/>
    <w:qFormat/>
    <w:rPr>
      <w:rFonts w:ascii="宋体;SimSun" w:hAnsi="宋体;SimSun" w:eastAsia="宋体;SimSun" w:cs="宋体;SimSun"/>
      <w:sz w:val="18"/>
      <w:szCs w:val="18"/>
    </w:rPr>
  </w:style>
  <w:style w:type="character" w:styleId="1061" w:customStyle="1">
    <w:name w:val="批注文字 字符"/>
    <w:uiPriority w:val="0"/>
    <w:qFormat/>
    <w:rPr>
      <w:rFonts w:ascii="Times New Roman" w:hAnsi="Times New Roman" w:eastAsia="宋体;SimSun" w:cs="Times New Roman"/>
      <w:szCs w:val="24"/>
    </w:rPr>
  </w:style>
  <w:style w:type="character" w:styleId="1062" w:customStyle="1">
    <w:name w:val="正文文本缩进 字符"/>
    <w:uiPriority w:val="0"/>
    <w:qFormat/>
    <w:rPr>
      <w:rFonts w:eastAsia="仿宋_GB2312"/>
      <w:sz w:val="30"/>
      <w:szCs w:val="30"/>
    </w:rPr>
  </w:style>
  <w:style w:type="character" w:styleId="1063" w:customStyle="1">
    <w:name w:val="纯文本 字符"/>
    <w:uiPriority w:val="0"/>
    <w:qFormat/>
    <w:rPr>
      <w:rFonts w:ascii="宋体;SimSun" w:hAnsi="宋体;SimSun" w:eastAsia="宋体;SimSun" w:cs="Times New Roman"/>
      <w:szCs w:val="20"/>
    </w:rPr>
  </w:style>
  <w:style w:type="character" w:styleId="1064" w:customStyle="1">
    <w:name w:val="日期 字符"/>
    <w:uiPriority w:val="0"/>
    <w:qFormat/>
  </w:style>
  <w:style w:type="character" w:styleId="1065" w:customStyle="1">
    <w:name w:val="尾注文本 字符"/>
    <w:uiPriority w:val="0"/>
    <w:qFormat/>
    <w:rPr>
      <w:sz w:val="20"/>
    </w:rPr>
  </w:style>
  <w:style w:type="character" w:styleId="1066" w:customStyle="1">
    <w:name w:val="批注框文本 字符"/>
    <w:uiPriority w:val="0"/>
    <w:qFormat/>
    <w:rPr>
      <w:sz w:val="18"/>
      <w:szCs w:val="18"/>
    </w:rPr>
  </w:style>
  <w:style w:type="character" w:styleId="1067" w:customStyle="1">
    <w:name w:val="页脚 字符"/>
    <w:uiPriority w:val="0"/>
    <w:qFormat/>
    <w:rPr>
      <w:rFonts w:ascii="Calibri" w:hAnsi="Calibri" w:eastAsia="Arial" w:cs="Arial"/>
      <w:sz w:val="18"/>
      <w:szCs w:val="18"/>
    </w:rPr>
  </w:style>
  <w:style w:type="character" w:styleId="1068" w:customStyle="1">
    <w:name w:val="页眉 字符"/>
    <w:uiPriority w:val="0"/>
    <w:qFormat/>
    <w:rPr>
      <w:rFonts w:ascii="Calibri" w:hAnsi="Calibri" w:eastAsia="Arial" w:cs="Arial"/>
      <w:sz w:val="18"/>
      <w:szCs w:val="18"/>
    </w:rPr>
  </w:style>
  <w:style w:type="character" w:styleId="1069" w:customStyle="1">
    <w:name w:val="副标题 字符"/>
    <w:uiPriority w:val="0"/>
    <w:qFormat/>
    <w:rPr>
      <w:sz w:val="24"/>
      <w:szCs w:val="24"/>
    </w:rPr>
  </w:style>
  <w:style w:type="character" w:styleId="1070" w:customStyle="1">
    <w:name w:val="脚注文本 字符"/>
    <w:uiPriority w:val="0"/>
    <w:qFormat/>
    <w:rPr>
      <w:sz w:val="18"/>
    </w:rPr>
  </w:style>
  <w:style w:type="character" w:styleId="1071" w:customStyle="1">
    <w:name w:val="标题 字符"/>
    <w:uiPriority w:val="0"/>
    <w:qFormat/>
    <w:rPr>
      <w:sz w:val="48"/>
      <w:szCs w:val="48"/>
    </w:rPr>
  </w:style>
  <w:style w:type="character" w:styleId="1072" w:customStyle="1">
    <w:name w:val="批注主题 字符"/>
    <w:uiPriority w:val="0"/>
    <w:qFormat/>
    <w:rPr>
      <w:b/>
      <w:bCs/>
    </w:rPr>
  </w:style>
  <w:style w:type="character" w:styleId="1073" w:customStyle="1">
    <w:name w:val="Strong Emphasis"/>
    <w:uiPriority w:val="0"/>
    <w:qFormat/>
    <w:rPr>
      <w:b/>
    </w:rPr>
  </w:style>
  <w:style w:type="character" w:styleId="1074" w:customStyle="1">
    <w:name w:val="Endnote Characters"/>
    <w:uiPriority w:val="0"/>
    <w:qFormat/>
    <w:rPr>
      <w:vertAlign w:val="superscript"/>
    </w:rPr>
  </w:style>
  <w:style w:type="character" w:styleId="1075" w:customStyle="1">
    <w:name w:val="批注引用1"/>
    <w:uiPriority w:val="0"/>
    <w:qFormat/>
    <w:rPr>
      <w:sz w:val="21"/>
      <w:szCs w:val="21"/>
    </w:rPr>
  </w:style>
  <w:style w:type="character" w:styleId="1076" w:customStyle="1">
    <w:name w:val="Footnote Characters"/>
    <w:uiPriority w:val="0"/>
    <w:qFormat/>
    <w:rPr>
      <w:vertAlign w:val="superscript"/>
    </w:rPr>
  </w:style>
  <w:style w:type="character" w:styleId="1077" w:customStyle="1">
    <w:name w:val="标题 1 Char"/>
    <w:uiPriority w:val="0"/>
    <w:qFormat/>
    <w:rPr>
      <w:b/>
      <w:bCs/>
      <w:sz w:val="44"/>
      <w:szCs w:val="44"/>
    </w:rPr>
  </w:style>
  <w:style w:type="character" w:styleId="1078" w:customStyle="1">
    <w:name w:val="标题 2 Char"/>
    <w:uiPriority w:val="0"/>
    <w:qFormat/>
    <w:rPr>
      <w:rFonts w:ascii="Cambria" w:hAnsi="Cambria" w:eastAsia="Arial" w:cs="Arial"/>
      <w:b/>
      <w:bCs/>
      <w:sz w:val="32"/>
      <w:szCs w:val="32"/>
    </w:rPr>
  </w:style>
  <w:style w:type="character" w:styleId="1079" w:customStyle="1">
    <w:name w:val="标题 3 Char"/>
    <w:uiPriority w:val="0"/>
    <w:qFormat/>
    <w:rPr>
      <w:b/>
      <w:bCs/>
      <w:sz w:val="32"/>
      <w:szCs w:val="32"/>
    </w:rPr>
  </w:style>
  <w:style w:type="character" w:styleId="1080" w:customStyle="1">
    <w:name w:val="Heading 4 Char"/>
    <w:uiPriority w:val="0"/>
    <w:qFormat/>
    <w:rPr>
      <w:rFonts w:ascii="Arial" w:hAnsi="Arial" w:eastAsia="Arial" w:cs="Arial"/>
      <w:b/>
      <w:bCs/>
      <w:sz w:val="26"/>
      <w:szCs w:val="26"/>
    </w:rPr>
  </w:style>
  <w:style w:type="character" w:styleId="1081" w:customStyle="1">
    <w:name w:val="Heading 5 Char"/>
    <w:uiPriority w:val="0"/>
    <w:qFormat/>
    <w:rPr>
      <w:rFonts w:ascii="Arial" w:hAnsi="Arial" w:eastAsia="Arial" w:cs="Arial"/>
      <w:b/>
      <w:bCs/>
      <w:sz w:val="24"/>
      <w:szCs w:val="24"/>
    </w:rPr>
  </w:style>
  <w:style w:type="character" w:styleId="1082" w:customStyle="1">
    <w:name w:val="Heading 6 Char"/>
    <w:uiPriority w:val="0"/>
    <w:qFormat/>
    <w:rPr>
      <w:rFonts w:ascii="Arial" w:hAnsi="Arial" w:eastAsia="Arial" w:cs="Arial"/>
      <w:b/>
      <w:bCs/>
      <w:sz w:val="22"/>
      <w:szCs w:val="22"/>
    </w:rPr>
  </w:style>
  <w:style w:type="character" w:styleId="1083" w:customStyle="1">
    <w:name w:val="Heading 7 Char"/>
    <w:uiPriority w:val="0"/>
    <w:qFormat/>
    <w:rPr>
      <w:rFonts w:ascii="Arial" w:hAnsi="Arial" w:eastAsia="Arial" w:cs="Arial"/>
      <w:b/>
      <w:bCs/>
      <w:i/>
      <w:iCs/>
      <w:sz w:val="22"/>
      <w:szCs w:val="22"/>
    </w:rPr>
  </w:style>
  <w:style w:type="character" w:styleId="1084" w:customStyle="1">
    <w:name w:val="Heading 8 Char"/>
    <w:uiPriority w:val="0"/>
    <w:qFormat/>
    <w:rPr>
      <w:rFonts w:ascii="Arial" w:hAnsi="Arial" w:eastAsia="Arial" w:cs="Arial"/>
      <w:i/>
      <w:iCs/>
      <w:sz w:val="22"/>
      <w:szCs w:val="22"/>
    </w:rPr>
  </w:style>
  <w:style w:type="character" w:styleId="1085" w:customStyle="1">
    <w:name w:val="Heading 9 Char"/>
    <w:uiPriority w:val="0"/>
    <w:qFormat/>
    <w:rPr>
      <w:rFonts w:ascii="Arial" w:hAnsi="Arial" w:eastAsia="Arial" w:cs="Arial"/>
      <w:i/>
      <w:iCs/>
      <w:sz w:val="21"/>
      <w:szCs w:val="21"/>
    </w:rPr>
  </w:style>
  <w:style w:type="character" w:styleId="1086" w:customStyle="1">
    <w:name w:val="页脚 Char"/>
    <w:uiPriority w:val="0"/>
    <w:qFormat/>
    <w:rPr>
      <w:sz w:val="18"/>
      <w:szCs w:val="18"/>
    </w:rPr>
  </w:style>
  <w:style w:type="character" w:styleId="1087" w:customStyle="1">
    <w:name w:val="页眉 Char"/>
    <w:uiPriority w:val="0"/>
    <w:qFormat/>
    <w:rPr>
      <w:sz w:val="18"/>
      <w:szCs w:val="18"/>
    </w:rPr>
  </w:style>
  <w:style w:type="character" w:styleId="1088" w:customStyle="1">
    <w:name w:val="Default Char"/>
    <w:uiPriority w:val="0"/>
    <w:qFormat/>
    <w:rPr>
      <w:rFonts w:ascii="MS Mincho;ＭＳ 明朝" w:hAnsi="MS Mincho;ＭＳ 明朝" w:eastAsia="宋体;SimSun" w:cs="Times New Roman"/>
      <w:color w:val="000000"/>
      <w:szCs w:val="24"/>
    </w:rPr>
  </w:style>
  <w:style w:type="character" w:styleId="1089" w:customStyle="1">
    <w:name w:val="Heading 1 Char"/>
    <w:uiPriority w:val="0"/>
    <w:qFormat/>
    <w:rPr>
      <w:rFonts w:ascii="Arial" w:hAnsi="Arial" w:eastAsia="Arial" w:cs="Arial"/>
      <w:sz w:val="40"/>
      <w:szCs w:val="40"/>
    </w:rPr>
  </w:style>
  <w:style w:type="character" w:styleId="1090" w:customStyle="1">
    <w:name w:val="Heading 2 Char"/>
    <w:uiPriority w:val="0"/>
    <w:qFormat/>
    <w:rPr>
      <w:rFonts w:ascii="Arial" w:hAnsi="Arial" w:eastAsia="Arial" w:cs="Arial"/>
      <w:sz w:val="34"/>
    </w:rPr>
  </w:style>
  <w:style w:type="character" w:styleId="1091" w:customStyle="1">
    <w:name w:val="Heading 3 Char"/>
    <w:uiPriority w:val="0"/>
    <w:qFormat/>
    <w:rPr>
      <w:rFonts w:ascii="Arial" w:hAnsi="Arial" w:eastAsia="Arial" w:cs="Arial"/>
      <w:sz w:val="30"/>
      <w:szCs w:val="30"/>
    </w:rPr>
  </w:style>
  <w:style w:type="character" w:styleId="1092" w:customStyle="1">
    <w:name w:val="引用 字符"/>
    <w:uiPriority w:val="0"/>
    <w:qFormat/>
    <w:rPr>
      <w:i/>
    </w:rPr>
  </w:style>
  <w:style w:type="character" w:styleId="1093" w:customStyle="1">
    <w:name w:val="明显引用 字符"/>
    <w:uiPriority w:val="0"/>
    <w:qFormat/>
    <w:rPr>
      <w:i/>
    </w:rPr>
  </w:style>
  <w:style w:type="character" w:styleId="1094" w:customStyle="1">
    <w:name w:val="Header Char"/>
    <w:uiPriority w:val="0"/>
    <w:qFormat/>
  </w:style>
  <w:style w:type="character" w:styleId="1095" w:customStyle="1">
    <w:name w:val="Footer Char"/>
    <w:uiPriority w:val="0"/>
    <w:qFormat/>
  </w:style>
  <w:style w:type="character" w:styleId="1096" w:customStyle="1">
    <w:name w:val="Caption Char"/>
    <w:uiPriority w:val="0"/>
    <w:qFormat/>
  </w:style>
  <w:style w:type="character" w:styleId="1097" w:customStyle="1">
    <w:name w:val="15"/>
    <w:uiPriority w:val="0"/>
    <w:qFormat/>
    <w:rPr>
      <w:rFonts w:ascii="Times New Roman" w:hAnsi="Times New Roman" w:cs="Times New Roman"/>
    </w:rPr>
  </w:style>
  <w:style w:type="character" w:styleId="1098" w:customStyle="1">
    <w:name w:val="font31"/>
    <w:uiPriority w:val="0"/>
    <w:qFormat/>
    <w:rPr>
      <w:rFonts w:ascii="方正仿宋_GBK;微软雅黑" w:hAnsi="方正仿宋_GBK;微软雅黑" w:eastAsia="方正仿宋_GBK;微软雅黑" w:cs="方正仿宋_GBK;微软雅黑"/>
      <w:color w:val="000000"/>
      <w:sz w:val="24"/>
      <w:szCs w:val="24"/>
      <w:u w:val="none"/>
    </w:rPr>
  </w:style>
  <w:style w:type="character" w:styleId="1099" w:customStyle="1">
    <w:name w:val="font41"/>
    <w:uiPriority w:val="0"/>
    <w:qFormat/>
    <w:rPr>
      <w:rFonts w:ascii="Times New Roman" w:hAnsi="Times New Roman" w:cs="Times New Roman"/>
      <w:color w:val="000000"/>
      <w:sz w:val="24"/>
      <w:szCs w:val="24"/>
      <w:u w:val="none"/>
    </w:rPr>
  </w:style>
  <w:style w:type="character" w:styleId="1100" w:customStyle="1">
    <w:name w:val="font51"/>
    <w:uiPriority w:val="0"/>
    <w:qFormat/>
    <w:rPr>
      <w:rFonts w:ascii="方正仿宋_GBK;微软雅黑" w:hAnsi="方正仿宋_GBK;微软雅黑" w:eastAsia="方正仿宋_GBK;微软雅黑" w:cs="方正仿宋_GBK;微软雅黑"/>
      <w:color w:val="333333"/>
      <w:sz w:val="24"/>
      <w:szCs w:val="24"/>
      <w:u w:val="none"/>
    </w:rPr>
  </w:style>
  <w:style w:type="character" w:styleId="1101" w:customStyle="1">
    <w:name w:val="font61"/>
    <w:uiPriority w:val="0"/>
    <w:qFormat/>
    <w:rPr>
      <w:rFonts w:ascii="Times New Roman" w:hAnsi="Times New Roman" w:cs="Times New Roman"/>
      <w:color w:val="333333"/>
      <w:sz w:val="24"/>
      <w:szCs w:val="24"/>
      <w:u w:val="none"/>
    </w:rPr>
  </w:style>
  <w:style w:type="character" w:styleId="1102" w:customStyle="1">
    <w:name w:val="font81"/>
    <w:uiPriority w:val="0"/>
    <w:qFormat/>
    <w:rPr>
      <w:rFonts w:ascii="Times New Roman" w:hAnsi="Times New Roman" w:cs="Times New Roman"/>
      <w:color w:val="000000"/>
      <w:sz w:val="28"/>
      <w:szCs w:val="28"/>
      <w:u w:val="none"/>
    </w:rPr>
  </w:style>
  <w:style w:type="character" w:styleId="1103" w:customStyle="1">
    <w:name w:val="font71"/>
    <w:uiPriority w:val="0"/>
    <w:qFormat/>
    <w:rPr>
      <w:rFonts w:ascii="方正仿宋_GBK;微软雅黑" w:hAnsi="方正仿宋_GBK;微软雅黑" w:eastAsia="方正仿宋_GBK;微软雅黑" w:cs="方正仿宋_GBK;微软雅黑"/>
      <w:color w:val="000000"/>
      <w:sz w:val="28"/>
      <w:szCs w:val="28"/>
      <w:u w:val="none"/>
    </w:rPr>
  </w:style>
  <w:style w:type="character" w:styleId="1104" w:customStyle="1">
    <w:name w:val="NormalCharacter"/>
    <w:uiPriority w:val="0"/>
    <w:qFormat/>
    <w:rPr>
      <w:sz w:val="20"/>
      <w:szCs w:val="20"/>
    </w:rPr>
  </w:style>
  <w:style w:type="character" w:styleId="1105" w:customStyle="1">
    <w:name w:val="font141"/>
    <w:uiPriority w:val="0"/>
    <w:qFormat/>
    <w:rPr>
      <w:rFonts w:ascii="仿宋" w:hAnsi="仿宋" w:eastAsia="仿宋" w:cs="仿宋"/>
      <w:color w:val="000000"/>
      <w:sz w:val="22"/>
      <w:szCs w:val="22"/>
      <w:u w:val="none"/>
    </w:rPr>
  </w:style>
  <w:style w:type="character" w:styleId="1106" w:customStyle="1">
    <w:name w:val="Index Link"/>
    <w:uiPriority w:val="0"/>
    <w:qFormat/>
  </w:style>
  <w:style w:type="paragraph" w:styleId="1107" w:customStyle="1">
    <w:name w:val="Index"/>
    <w:basedOn w:val="995"/>
    <w:uiPriority w:val="0"/>
    <w:qFormat/>
    <w:pPr>
      <w:suppressLineNumbers/>
    </w:pPr>
    <w:rPr>
      <w:rFonts w:cs="Lohit Devanagari"/>
    </w:rPr>
  </w:style>
  <w:style w:type="paragraph" w:styleId="1108" w:customStyle="1">
    <w:name w:val="正文缩进1"/>
    <w:basedOn w:val="995"/>
    <w:uiPriority w:val="0"/>
    <w:qFormat/>
    <w:pPr>
      <w:ind w:firstLine="420"/>
    </w:pPr>
    <w:rPr>
      <w:szCs w:val="20"/>
    </w:rPr>
  </w:style>
  <w:style w:type="paragraph" w:styleId="1109" w:customStyle="1">
    <w:name w:val="文档结构图1"/>
    <w:basedOn w:val="995"/>
    <w:uiPriority w:val="0"/>
    <w:qFormat/>
    <w:rPr>
      <w:rFonts w:ascii="宋体;SimSun" w:hAnsi="宋体;SimSun" w:eastAsia="宋体;SimSun" w:cs="宋体;SimSun"/>
      <w:sz w:val="18"/>
      <w:szCs w:val="18"/>
    </w:rPr>
  </w:style>
  <w:style w:type="paragraph" w:styleId="1110" w:customStyle="1">
    <w:name w:val="引文目录标题1"/>
    <w:next w:val="995"/>
    <w:uiPriority w:val="0"/>
    <w:qFormat/>
    <w:pPr>
      <w:jc w:val="both"/>
      <w:spacing w:before="120"/>
      <w:widowControl w:val="off"/>
    </w:pPr>
    <w:rPr>
      <w:rFonts w:ascii="Arial" w:hAnsi="Arial" w:eastAsia="宋体;SimSun" w:cs="Arial"/>
      <w:sz w:val="24"/>
      <w:szCs w:val="24"/>
      <w:lang w:val="en-US" w:eastAsia="zh-CN" w:bidi="ar-SA"/>
    </w:rPr>
  </w:style>
  <w:style w:type="paragraph" w:styleId="1111" w:customStyle="1">
    <w:name w:val="纯文本2"/>
    <w:basedOn w:val="995"/>
    <w:uiPriority w:val="0"/>
    <w:qFormat/>
    <w:rPr>
      <w:rFonts w:ascii="宋体;SimSun" w:hAnsi="宋体;SimSun" w:eastAsia="宋体;SimSun" w:cs="Times New Roman"/>
      <w:szCs w:val="20"/>
    </w:rPr>
  </w:style>
  <w:style w:type="paragraph" w:styleId="1112" w:customStyle="1">
    <w:name w:val="日期1"/>
    <w:basedOn w:val="995"/>
    <w:next w:val="995"/>
    <w:uiPriority w:val="0"/>
    <w:qFormat/>
    <w:pPr>
      <w:ind w:left="100"/>
    </w:pPr>
  </w:style>
  <w:style w:type="paragraph" w:styleId="1113" w:customStyle="1">
    <w:name w:val="Header and Footer"/>
    <w:basedOn w:val="995"/>
    <w:uiPriority w:val="0"/>
    <w:qFormat/>
    <w:pPr>
      <w:tabs>
        <w:tab w:val="center" w:pos="4986" w:leader="none"/>
        <w:tab w:val="right" w:pos="9972" w:leader="none"/>
      </w:tabs>
      <w:suppressLineNumbers/>
    </w:pPr>
  </w:style>
  <w:style w:type="paragraph" w:styleId="1114" w:customStyle="1">
    <w:name w:val="图表目录1"/>
    <w:basedOn w:val="995"/>
    <w:next w:val="995"/>
    <w:uiPriority w:val="0"/>
    <w:qFormat/>
  </w:style>
  <w:style w:type="paragraph" w:styleId="1115" w:customStyle="1">
    <w:name w:val="正文文本首行缩进1"/>
    <w:basedOn w:val="1010"/>
    <w:uiPriority w:val="0"/>
    <w:qFormat/>
    <w:pPr>
      <w:ind w:firstLine="420"/>
    </w:pPr>
  </w:style>
  <w:style w:type="paragraph" w:styleId="1116" w:customStyle="1">
    <w:name w:val="正文文本首行缩进 21"/>
    <w:basedOn w:val="1011"/>
    <w:uiPriority w:val="0"/>
    <w:qFormat/>
    <w:pPr>
      <w:ind w:left="420" w:firstLine="210"/>
      <w:spacing w:after="120"/>
    </w:pPr>
  </w:style>
  <w:style w:type="paragraph" w:styleId="1117" w:customStyle="1">
    <w:name w:val="正文1"/>
    <w:basedOn w:val="1108"/>
    <w:uiPriority w:val="0"/>
    <w:qFormat/>
    <w:rPr>
      <w:rFonts w:eastAsia="宋体;SimSun" w:cs="Times New Roman"/>
      <w:szCs w:val="21"/>
    </w:rPr>
  </w:style>
  <w:style w:type="paragraph" w:styleId="1118" w:customStyle="1">
    <w:name w:val="WW-Footer"/>
    <w:basedOn w:val="995"/>
    <w:uiPriority w:val="0"/>
    <w:qFormat/>
    <w:pPr>
      <w:jc w:val="left"/>
      <w:tabs>
        <w:tab w:val="center" w:pos="4153" w:leader="none"/>
        <w:tab w:val="right" w:pos="8306" w:leader="none"/>
      </w:tabs>
    </w:pPr>
    <w:rPr>
      <w:sz w:val="18"/>
      <w:szCs w:val="18"/>
    </w:rPr>
  </w:style>
  <w:style w:type="paragraph" w:styleId="1119" w:customStyle="1">
    <w:name w:val="WW-Header"/>
    <w:basedOn w:val="995"/>
    <w:uiPriority w:val="0"/>
    <w:qFormat/>
    <w:pPr>
      <w:jc w:val="center"/>
      <w:tabs>
        <w:tab w:val="center" w:pos="4153" w:leader="none"/>
        <w:tab w:val="right" w:pos="8306" w:leader="none"/>
      </w:tabs>
      <w:pBdr>
        <w:bottom w:val="single" w:color="000000" w:sz="6" w:space="1"/>
      </w:pBdr>
    </w:pPr>
    <w:rPr>
      <w:sz w:val="18"/>
      <w:szCs w:val="18"/>
    </w:rPr>
  </w:style>
  <w:style w:type="paragraph" w:styleId="1120" w:customStyle="1">
    <w:name w:val="Default"/>
    <w:uiPriority w:val="0"/>
    <w:qFormat/>
    <w:pPr>
      <w:widowControl w:val="off"/>
    </w:pPr>
    <w:rPr>
      <w:rFonts w:ascii="MS Mincho;ＭＳ 明朝" w:hAnsi="MS Mincho;ＭＳ 明朝" w:eastAsia="宋体;SimSun" w:cs="Calibri"/>
      <w:color w:val="000000"/>
      <w:sz w:val="21"/>
      <w:szCs w:val="24"/>
      <w:lang w:val="en-US" w:eastAsia="zh-CN" w:bidi="ar-SA"/>
    </w:rPr>
  </w:style>
  <w:style w:type="paragraph" w:styleId="1121">
    <w:name w:val="List Paragraph"/>
    <w:basedOn w:val="995"/>
    <w:uiPriority w:val="0"/>
    <w:qFormat/>
    <w:pPr>
      <w:contextualSpacing/>
      <w:ind w:left="720"/>
    </w:pPr>
  </w:style>
  <w:style w:type="paragraph" w:styleId="1122">
    <w:name w:val="No Spacing"/>
    <w:uiPriority w:val="0"/>
    <w:qFormat/>
    <w:rPr>
      <w:rFonts w:ascii="Calibri" w:hAnsi="Calibri" w:eastAsia="Arial" w:cs="Arial"/>
      <w:sz w:val="20"/>
      <w:szCs w:val="20"/>
      <w:lang w:val="en-US" w:eastAsia="zh-CN" w:bidi="ar-SA"/>
    </w:rPr>
  </w:style>
  <w:style w:type="paragraph" w:styleId="1123">
    <w:name w:val="Quote"/>
    <w:basedOn w:val="995"/>
    <w:next w:val="995"/>
    <w:uiPriority w:val="0"/>
    <w:qFormat/>
    <w:pPr>
      <w:ind w:left="720" w:right="720"/>
    </w:pPr>
    <w:rPr>
      <w:i/>
    </w:rPr>
  </w:style>
  <w:style w:type="paragraph" w:styleId="1124">
    <w:name w:val="Intense Quote"/>
    <w:basedOn w:val="995"/>
    <w:next w:val="99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25" w:customStyle="1">
    <w:name w:val="UserStyle_0"/>
    <w:basedOn w:val="995"/>
    <w:uiPriority w:val="0"/>
    <w:qFormat/>
    <w:pPr>
      <w:widowControl/>
    </w:pPr>
    <w:rPr>
      <w:sz w:val="20"/>
      <w:szCs w:val="20"/>
    </w:rPr>
  </w:style>
  <w:style w:type="paragraph" w:styleId="1126" w:customStyle="1">
    <w:name w:val="纯文本1"/>
    <w:uiPriority w:val="0"/>
    <w:qFormat/>
    <w:pPr>
      <w:jc w:val="both"/>
      <w:widowControl w:val="off"/>
    </w:pPr>
    <w:rPr>
      <w:rFonts w:ascii="宋体;SimSun" w:hAnsi="宋体;SimSun" w:eastAsia="宋体;SimSun" w:cs="Courier New"/>
      <w:sz w:val="21"/>
      <w:szCs w:val="20"/>
      <w:lang w:val="en-US" w:eastAsia="zh-CN" w:bidi="ar-SA"/>
    </w:rPr>
  </w:style>
  <w:style w:type="paragraph" w:styleId="1127" w:customStyle="1">
    <w:name w:val="正文文本1"/>
    <w:next w:val="995"/>
    <w:uiPriority w:val="0"/>
    <w:qFormat/>
    <w:pPr>
      <w:jc w:val="both"/>
      <w:spacing w:after="120"/>
      <w:widowControl w:val="off"/>
    </w:pPr>
    <w:rPr>
      <w:rFonts w:ascii="Times New Roman" w:hAnsi="Times New Roman" w:eastAsia="宋体;SimSun" w:cs="Times New Roman"/>
      <w:sz w:val="21"/>
      <w:szCs w:val="20"/>
      <w:lang w:val="en-US" w:eastAsia="zh-CN" w:bidi="ar-SA"/>
    </w:rPr>
  </w:style>
  <w:style w:type="paragraph" w:styleId="1128" w:customStyle="1">
    <w:name w:val="1级标题tc"/>
    <w:next w:val="1129"/>
    <w:uiPriority w:val="0"/>
    <w:qFormat/>
    <w:pPr>
      <w:numPr>
        <w:ilvl w:val="0"/>
        <w:numId w:val="2"/>
      </w:numPr>
      <w:ind w:firstLine="200"/>
      <w:keepLines/>
      <w:keepNext/>
      <w:pageBreakBefore/>
      <w:spacing w:before="50" w:after="50" w:line="500" w:lineRule="exact"/>
      <w:outlineLvl w:val="0"/>
    </w:pPr>
    <w:rPr>
      <w:rFonts w:ascii="Times New Roman" w:hAnsi="Times New Roman" w:eastAsia="宋体;SimSun" w:cs="Times New Roman"/>
      <w:b/>
      <w:bCs/>
      <w:sz w:val="32"/>
      <w:szCs w:val="44"/>
      <w:lang w:val="zh-CN" w:eastAsia="zh-CN" w:bidi="ar-SA"/>
    </w:rPr>
  </w:style>
  <w:style w:type="paragraph" w:styleId="1129" w:customStyle="1">
    <w:name w:val="正文tc"/>
    <w:uiPriority w:val="0"/>
    <w:qFormat/>
    <w:pPr>
      <w:ind w:firstLine="200"/>
      <w:jc w:val="both"/>
      <w:spacing w:line="500" w:lineRule="exact"/>
    </w:pPr>
    <w:rPr>
      <w:rFonts w:ascii="Times New Roman" w:hAnsi="Times New Roman" w:eastAsia="宋体;SimSun" w:cs="Times New Roman"/>
      <w:sz w:val="24"/>
      <w:szCs w:val="24"/>
      <w:lang w:val="zh-CN" w:eastAsia="zh-CN" w:bidi="ar-SA"/>
    </w:rPr>
  </w:style>
  <w:style w:type="paragraph" w:styleId="1130" w:customStyle="1">
    <w:name w:val="2级标题tc"/>
    <w:next w:val="1129"/>
    <w:uiPriority w:val="0"/>
    <w:qFormat/>
    <w:pPr>
      <w:ind w:firstLine="200"/>
      <w:jc w:val="both"/>
      <w:keepLines/>
      <w:keepNext/>
      <w:spacing w:before="50" w:after="50" w:line="500" w:lineRule="exact"/>
      <w:tabs>
        <w:tab w:val="left" w:pos="0" w:leader="none"/>
      </w:tabs>
      <w:outlineLvl w:val="1"/>
    </w:pPr>
    <w:rPr>
      <w:rFonts w:ascii="Times New Roman" w:hAnsi="Times New Roman" w:eastAsia="宋体;SimSun" w:cs="Times New Roman"/>
      <w:b/>
      <w:bCs/>
      <w:sz w:val="30"/>
      <w:szCs w:val="28"/>
      <w:lang w:val="zh-CN" w:eastAsia="zh-CN" w:bidi="ar-SA"/>
    </w:rPr>
  </w:style>
  <w:style w:type="paragraph" w:styleId="1131" w:customStyle="1">
    <w:name w:val="表名tc"/>
    <w:next w:val="1129"/>
    <w:uiPriority w:val="0"/>
    <w:qFormat/>
    <w:pPr>
      <w:jc w:val="center"/>
      <w:keepNext/>
      <w:spacing w:line="500" w:lineRule="exact"/>
      <w:tabs>
        <w:tab w:val="left" w:pos="0" w:leader="none"/>
        <w:tab w:val="left" w:pos="720" w:leader="none"/>
      </w:tabs>
      <w:outlineLvl w:val="5"/>
    </w:pPr>
    <w:rPr>
      <w:rFonts w:ascii="Times New Roman" w:hAnsi="Times New Roman" w:eastAsia="宋体;SimSun" w:cs="Times New Roman"/>
      <w:b/>
      <w:sz w:val="24"/>
      <w:szCs w:val="24"/>
      <w:lang w:val="zh-CN" w:eastAsia="zh-CN" w:bidi="ar-SA"/>
    </w:rPr>
  </w:style>
  <w:style w:type="paragraph" w:styleId="1132" w:customStyle="1">
    <w:name w:val="表内tc"/>
    <w:uiPriority w:val="0"/>
    <w:qFormat/>
    <w:pPr>
      <w:jc w:val="center"/>
    </w:pPr>
    <w:rPr>
      <w:rFonts w:ascii="Times New Roman" w:hAnsi="Times New Roman" w:eastAsia="宋体;SimSun" w:cs="Times New Roman"/>
      <w:sz w:val="21"/>
      <w:szCs w:val="21"/>
      <w:lang w:val="en-US" w:eastAsia="zh-CN" w:bidi="ar-SA"/>
    </w:rPr>
  </w:style>
  <w:style w:type="paragraph" w:styleId="1133" w:customStyle="1">
    <w:name w:val="Revision"/>
    <w:uiPriority w:val="0"/>
    <w:qFormat/>
    <w:rPr>
      <w:rFonts w:ascii="Calibri" w:hAnsi="Calibri" w:eastAsia="Arial" w:cs="Arial"/>
      <w:sz w:val="21"/>
      <w:szCs w:val="22"/>
      <w:lang w:val="en-US" w:eastAsia="zh-CN" w:bidi="ar-SA"/>
    </w:rPr>
  </w:style>
  <w:style w:type="paragraph" w:styleId="1134" w:customStyle="1">
    <w:name w:val="msonormal"/>
    <w:basedOn w:val="995"/>
    <w:uiPriority w:val="0"/>
    <w:qFormat/>
    <w:pPr>
      <w:jc w:val="left"/>
      <w:spacing w:before="100" w:after="100"/>
      <w:widowControl/>
    </w:pPr>
    <w:rPr>
      <w:rFonts w:ascii="宋体;SimSun" w:hAnsi="宋体;SimSun" w:eastAsia="宋体;SimSun" w:cs="宋体;SimSun"/>
      <w:sz w:val="24"/>
      <w:szCs w:val="24"/>
    </w:rPr>
  </w:style>
  <w:style w:type="paragraph" w:styleId="1135" w:customStyle="1">
    <w:name w:val="font5"/>
    <w:basedOn w:val="995"/>
    <w:uiPriority w:val="0"/>
    <w:qFormat/>
    <w:pPr>
      <w:jc w:val="left"/>
      <w:spacing w:before="100" w:after="100"/>
      <w:widowControl/>
    </w:pPr>
    <w:rPr>
      <w:rFonts w:ascii="宋体;SimSun" w:hAnsi="宋体;SimSun" w:eastAsia="宋体;SimSun" w:cs="宋体;SimSun"/>
      <w:sz w:val="18"/>
      <w:szCs w:val="18"/>
    </w:rPr>
  </w:style>
  <w:style w:type="paragraph" w:styleId="1136" w:customStyle="1">
    <w:name w:val="xl66"/>
    <w:basedOn w:val="995"/>
    <w:uiPriority w:val="0"/>
    <w:qFormat/>
    <w:pPr>
      <w:jc w:val="left"/>
      <w:spacing w:before="100" w:after="100"/>
      <w:widowControl/>
    </w:pPr>
    <w:rPr>
      <w:rFonts w:ascii="宋体;SimSun" w:hAnsi="宋体;SimSun" w:eastAsia="宋体;SimSun" w:cs="宋体;SimSun"/>
      <w:sz w:val="24"/>
      <w:szCs w:val="24"/>
    </w:rPr>
  </w:style>
  <w:style w:type="paragraph" w:styleId="1137" w:customStyle="1">
    <w:name w:val="xl67"/>
    <w:basedOn w:val="995"/>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b/>
      <w:bCs/>
      <w:sz w:val="24"/>
      <w:szCs w:val="24"/>
    </w:rPr>
  </w:style>
  <w:style w:type="paragraph" w:styleId="1138" w:customStyle="1">
    <w:name w:val="xl68"/>
    <w:basedOn w:val="995"/>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0"/>
      <w:szCs w:val="20"/>
    </w:rPr>
  </w:style>
  <w:style w:type="paragraph" w:styleId="1139" w:customStyle="1">
    <w:name w:val="xl69"/>
    <w:basedOn w:val="995"/>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b/>
      <w:bCs/>
      <w:sz w:val="24"/>
      <w:szCs w:val="24"/>
    </w:rPr>
  </w:style>
  <w:style w:type="paragraph" w:styleId="1140" w:customStyle="1">
    <w:name w:val="xl70"/>
    <w:basedOn w:val="995"/>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4"/>
      <w:szCs w:val="24"/>
    </w:rPr>
  </w:style>
  <w:style w:type="paragraph" w:styleId="1141" w:customStyle="1">
    <w:name w:val="xl71"/>
    <w:basedOn w:val="995"/>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4"/>
      <w:szCs w:val="24"/>
    </w:rPr>
  </w:style>
  <w:style w:type="paragraph" w:styleId="1142" w:customStyle="1">
    <w:name w:val="xl72"/>
    <w:basedOn w:val="995"/>
    <w:uiPriority w:val="0"/>
    <w:qFormat/>
    <w:pPr>
      <w:jc w:val="center"/>
      <w:spacing w:before="100" w:after="100"/>
      <w:shd w:val="clear" w:color="auto" w:fill="ffffff"/>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0"/>
      <w:szCs w:val="20"/>
    </w:rPr>
  </w:style>
  <w:style w:type="paragraph" w:styleId="1143" w:customStyle="1">
    <w:name w:val="xl73"/>
    <w:basedOn w:val="995"/>
    <w:uiPriority w:val="0"/>
    <w:qFormat/>
    <w:pPr>
      <w:jc w:val="left"/>
      <w:spacing w:before="100" w:after="100"/>
      <w:shd w:val="clear" w:color="auto" w:fill="ffffff"/>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0"/>
      <w:szCs w:val="20"/>
    </w:rPr>
  </w:style>
  <w:style w:type="paragraph" w:styleId="1144" w:customStyle="1">
    <w:name w:val="xl74"/>
    <w:basedOn w:val="995"/>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b/>
      <w:bCs/>
      <w:sz w:val="24"/>
      <w:szCs w:val="24"/>
    </w:rPr>
  </w:style>
  <w:style w:type="paragraph" w:styleId="1145" w:customStyle="1">
    <w:name w:val="xl75"/>
    <w:basedOn w:val="995"/>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4"/>
      <w:szCs w:val="24"/>
    </w:rPr>
  </w:style>
  <w:style w:type="paragraph" w:styleId="1146" w:customStyle="1">
    <w:name w:val="xl76"/>
    <w:basedOn w:val="995"/>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0"/>
      <w:szCs w:val="20"/>
    </w:rPr>
  </w:style>
  <w:style w:type="paragraph" w:styleId="1147" w:customStyle="1">
    <w:name w:val="xl77"/>
    <w:basedOn w:val="995"/>
    <w:uiPriority w:val="0"/>
    <w:qFormat/>
    <w:pPr>
      <w:jc w:val="center"/>
      <w:spacing w:before="100" w:after="100"/>
      <w:shd w:val="clear" w:color="auto" w:fill="ffffff"/>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0"/>
      <w:szCs w:val="20"/>
    </w:rPr>
  </w:style>
  <w:style w:type="paragraph" w:styleId="1148" w:customStyle="1">
    <w:name w:val="xl78"/>
    <w:basedOn w:val="995"/>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4"/>
      <w:szCs w:val="24"/>
    </w:rPr>
  </w:style>
  <w:style w:type="paragraph" w:styleId="1149" w:customStyle="1">
    <w:name w:val="xl79"/>
    <w:basedOn w:val="995"/>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16"/>
      <w:szCs w:val="16"/>
    </w:rPr>
  </w:style>
  <w:style w:type="paragraph" w:styleId="1150" w:customStyle="1">
    <w:name w:val="xl80"/>
    <w:basedOn w:val="995"/>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16"/>
      <w:szCs w:val="16"/>
    </w:rPr>
  </w:style>
  <w:style w:type="paragraph" w:styleId="1151" w:customStyle="1">
    <w:name w:val="Table Contents"/>
    <w:basedOn w:val="995"/>
    <w:uiPriority w:val="0"/>
    <w:qFormat/>
    <w:pPr>
      <w:suppressLineNumbers/>
    </w:pPr>
  </w:style>
  <w:style w:type="paragraph" w:styleId="1152" w:customStyle="1">
    <w:name w:val="Table Heading"/>
    <w:basedOn w:val="1151"/>
    <w:uiPriority w:val="0"/>
    <w:qFormat/>
    <w:pPr>
      <w:jc w:val="center"/>
    </w:pPr>
    <w:rPr>
      <w:b/>
      <w:bCs/>
    </w:rPr>
  </w:style>
  <w:style w:type="paragraph" w:styleId="1153" w:customStyle="1">
    <w:name w:val="普通(网站)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character" w:styleId="1154" w:customStyle="1">
    <w:name w:val="强调1"/>
    <w:link w:val="995"/>
    <w:uiPriority w:val="0"/>
    <w:qFormat/>
    <w:rPr>
      <w:rFonts w:ascii="Calibri" w:hAnsi="Calibri" w:eastAsia="Arial" w:cs="Arial"/>
      <w:sz w:val="21"/>
      <w:szCs w:val="22"/>
      <w:lang w:val="en-US" w:eastAsia="zh-CN" w:bidi="ar-SA"/>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wmf"/><Relationship Id="rId26" Type="http://schemas.openxmlformats.org/officeDocument/2006/relationships/image" Target="media/image2.wmf"/><Relationship Id="rId2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刘承杰</cp:lastModifiedBy>
  <cp:revision>13</cp:revision>
  <dcterms:created xsi:type="dcterms:W3CDTF">2026-07-21T14:43:00Z</dcterms:created>
  <dcterms:modified xsi:type="dcterms:W3CDTF">2026-07-31T07:14:43Z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94E337019A9243ACBE1C8F062E82F643_13</vt:lpwstr>
  </property>
  <property fmtid="{D5CDD505-2E9C-101B-9397-08002B2CF9AE}" pid="3" name="KSOProductBuildVer">
    <vt:lpwstr>2052-12.1.0.26895</vt:lpwstr>
  </property>
  <property fmtid="{D5CDD505-2E9C-101B-9397-08002B2CF9AE}" pid="4" name="KSOTemplateDocerSaveRecord">
    <vt:lpwstr>eyJoZGlkIjoiNjg3OGM3NGUxNTY3MDRjYmQ2ODFmNzk3ZGExM2JiMjgiLCJ1c2VySWQiOiIyMjY1MDY3MTIifQ==</vt:lpwstr>
  </property>
</Properties>
</file>